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3EAD6"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 w14:paraId="7435EFB4"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ab/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技术服务中心集团集资建房小区及居民区隐患整改土建项目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公开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 w14:paraId="31E9DB40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hd w:val="clear" w:color="auto" w:fill="FFFFFF"/>
          <w:lang w:eastAsia="zh-CN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u w:val="single"/>
        </w:rPr>
        <w:t>技术服务中心集团集资建房小区及居民区隐患整改土建项目</w:t>
      </w:r>
      <w:r>
        <w:rPr>
          <w:rFonts w:hint="eastAsia" w:ascii="宋体" w:hAnsi="宋体" w:cs="宋体"/>
          <w:sz w:val="24"/>
          <w:shd w:val="clear" w:color="auto" w:fill="FFFFFF"/>
        </w:rPr>
        <w:t>进</w:t>
      </w:r>
      <w:bookmarkStart w:id="10" w:name="_GoBack"/>
      <w:bookmarkEnd w:id="10"/>
      <w:r>
        <w:rPr>
          <w:rFonts w:hint="eastAsia" w:ascii="宋体" w:hAnsi="宋体" w:cs="宋体"/>
          <w:sz w:val="24"/>
          <w:shd w:val="clear" w:color="auto" w:fill="FFFFFF"/>
        </w:rPr>
        <w:t>行</w:t>
      </w:r>
      <w:r>
        <w:rPr>
          <w:rFonts w:hint="eastAsia" w:ascii="宋体" w:hAnsi="宋体" w:cs="宋体"/>
          <w:sz w:val="24"/>
          <w:shd w:val="clear" w:color="auto" w:fill="FFFFFF"/>
          <w:lang w:val="en-US" w:eastAsia="zh-CN"/>
        </w:rPr>
        <w:t>公开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 w14:paraId="12F6EAED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一、工程概况：</w:t>
      </w:r>
    </w:p>
    <w:tbl>
      <w:tblPr>
        <w:tblStyle w:val="8"/>
        <w:tblW w:w="10528" w:type="dxa"/>
        <w:tblInd w:w="-103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2863"/>
        <w:gridCol w:w="3300"/>
        <w:gridCol w:w="1425"/>
        <w:gridCol w:w="1250"/>
        <w:gridCol w:w="1118"/>
      </w:tblGrid>
      <w:tr w14:paraId="79D3AD5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61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60E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95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734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B6D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E09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D8FA5C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exac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0E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20F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变电所房屋修缮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36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详见变电所维修清单（见附件）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0C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BD9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DF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0B3FF3E7">
      <w:pPr>
        <w:spacing w:line="360" w:lineRule="auto"/>
        <w:ind w:firstLine="480" w:firstLineChars="200"/>
        <w:jc w:val="both"/>
        <w:rPr>
          <w:rFonts w:hint="default" w:ascii="宋体" w:hAnsi="宋体" w:cs="宋体"/>
          <w:sz w:val="24"/>
          <w:lang w:val="en-US"/>
        </w:rPr>
      </w:pPr>
      <w:r>
        <w:rPr>
          <w:rFonts w:hint="eastAsia" w:ascii="宋体" w:hAnsi="宋体" w:cs="宋体"/>
          <w:sz w:val="24"/>
          <w:highlight w:val="yellow"/>
          <w:lang w:val="en-US" w:eastAsia="zh-CN"/>
        </w:rPr>
        <w:t>其中：安全文明施工费中基本费费率为3.1%；扬尘污染防治增加费为0.31%；规费中社会保险费费率为3.2%、住房公积金费率为0.53%、环境保护税费率为0.1%、税金费率为9% 。</w:t>
      </w:r>
    </w:p>
    <w:p w14:paraId="5BCA683C">
      <w:pPr>
        <w:spacing w:line="360" w:lineRule="auto"/>
        <w:ind w:firstLine="480" w:firstLineChars="200"/>
        <w:jc w:val="both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二、计划工期：</w:t>
      </w:r>
      <w:bookmarkStart w:id="0" w:name="_Toc221950040"/>
      <w:r>
        <w:rPr>
          <w:rFonts w:hint="eastAsia" w:ascii="宋体" w:hAnsi="宋体" w:cs="宋体"/>
          <w:sz w:val="24"/>
        </w:rPr>
        <w:t>计划工期</w:t>
      </w:r>
      <w:r>
        <w:rPr>
          <w:rFonts w:hint="eastAsia" w:ascii="宋体" w:hAnsi="宋体" w:cs="宋体"/>
          <w:sz w:val="24"/>
          <w:lang w:val="en-US" w:eastAsia="zh-CN"/>
        </w:rPr>
        <w:t>10</w:t>
      </w:r>
      <w:r>
        <w:rPr>
          <w:rFonts w:hint="eastAsia" w:ascii="宋体" w:hAnsi="宋体" w:cs="宋体"/>
          <w:sz w:val="24"/>
        </w:rPr>
        <w:t>日历天，</w:t>
      </w:r>
      <w:r>
        <w:rPr>
          <w:rFonts w:hint="eastAsia" w:ascii="宋体" w:hAnsi="宋体" w:cs="宋体"/>
          <w:sz w:val="24"/>
          <w:lang w:eastAsia="zh-CN"/>
        </w:rPr>
        <w:t>计划</w:t>
      </w:r>
      <w:r>
        <w:rPr>
          <w:rFonts w:hint="eastAsia" w:ascii="宋体" w:hAnsi="宋体" w:cs="宋体"/>
          <w:sz w:val="24"/>
        </w:rPr>
        <w:t>开工日期20</w:t>
      </w:r>
      <w:r>
        <w:rPr>
          <w:rFonts w:hint="eastAsia" w:ascii="宋体" w:hAnsi="宋体" w:cs="宋体"/>
          <w:sz w:val="24"/>
          <w:lang w:val="en-US" w:eastAsia="zh-CN"/>
        </w:rPr>
        <w:t>25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09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26</w:t>
      </w:r>
      <w:r>
        <w:rPr>
          <w:rFonts w:hint="eastAsia" w:ascii="宋体" w:hAnsi="宋体" w:cs="宋体"/>
          <w:sz w:val="24"/>
        </w:rPr>
        <w:t>日，</w:t>
      </w:r>
      <w:r>
        <w:rPr>
          <w:rFonts w:hint="eastAsia" w:ascii="宋体" w:hAnsi="宋体" w:cs="宋体"/>
          <w:sz w:val="24"/>
          <w:lang w:eastAsia="zh-CN"/>
        </w:rPr>
        <w:t>计划</w:t>
      </w:r>
      <w:r>
        <w:rPr>
          <w:rFonts w:hint="eastAsia" w:ascii="宋体" w:hAnsi="宋体" w:cs="宋体"/>
          <w:sz w:val="24"/>
        </w:rPr>
        <w:t>竣工日期20</w:t>
      </w:r>
      <w:r>
        <w:rPr>
          <w:rFonts w:hint="eastAsia" w:ascii="宋体" w:hAnsi="宋体" w:cs="宋体"/>
          <w:sz w:val="24"/>
          <w:lang w:val="en-US" w:eastAsia="zh-CN"/>
        </w:rPr>
        <w:t>25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10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05</w:t>
      </w:r>
      <w:r>
        <w:rPr>
          <w:rFonts w:hint="eastAsia" w:ascii="宋体" w:hAnsi="宋体" w:cs="宋体"/>
          <w:sz w:val="24"/>
        </w:rPr>
        <w:t>日，</w:t>
      </w:r>
      <w:bookmarkEnd w:id="0"/>
      <w:r>
        <w:rPr>
          <w:rFonts w:hint="eastAsia" w:ascii="宋体" w:hAnsi="宋体" w:cs="宋体"/>
          <w:sz w:val="24"/>
        </w:rPr>
        <w:t>中标人接到中标通知书即日准备进场施工。</w:t>
      </w:r>
    </w:p>
    <w:p w14:paraId="42F6D8EF">
      <w:pPr>
        <w:spacing w:line="360" w:lineRule="auto"/>
        <w:ind w:firstLine="480" w:firstLineChars="200"/>
        <w:jc w:val="both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三、质量要求：合格。</w:t>
      </w:r>
    </w:p>
    <w:p w14:paraId="0C2E3A76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 w14:paraId="3526B1FA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2025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22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人不予受理。</w:t>
      </w:r>
    </w:p>
    <w:p w14:paraId="72711296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16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 w14:paraId="73D0FA2D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 w14:paraId="6D66DF8E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 w14:paraId="23BB01C3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1、投标人须为中华人民共和国境内注册的独立法人单位，具备履行合同的能力。</w:t>
      </w:r>
    </w:p>
    <w:p w14:paraId="1D2CFF29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2、三年内（企业及企业法人）无不良信誉记录。</w:t>
      </w:r>
    </w:p>
    <w:p w14:paraId="30336747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3、投标人处于正常的生产经营状态。</w:t>
      </w:r>
    </w:p>
    <w:p w14:paraId="6005C20C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4、投标人具备建筑或市政施工承包三级以上资质（含三级），具备建筑施工安全生产许可证，具备二级及以上建筑</w:t>
      </w:r>
      <w:r>
        <w:rPr>
          <w:rFonts w:hint="eastAsia" w:ascii="宋体" w:hAnsi="宋体" w:cs="宋体"/>
          <w:sz w:val="24"/>
          <w:lang w:val="en-US" w:eastAsia="zh-CN"/>
        </w:rPr>
        <w:t>或</w:t>
      </w:r>
      <w:r>
        <w:rPr>
          <w:rFonts w:hint="eastAsia" w:ascii="宋体" w:hAnsi="宋体" w:cs="宋体"/>
          <w:sz w:val="24"/>
        </w:rPr>
        <w:t>市政注册建造师，具备现场专职安全员。</w:t>
      </w:r>
    </w:p>
    <w:p w14:paraId="753C6567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、本项目不接受联合体投标。</w:t>
      </w:r>
    </w:p>
    <w:p w14:paraId="0916E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 w14:paraId="0F5A4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：人民币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150086.84</w:t>
      </w:r>
      <w:r>
        <w:rPr>
          <w:rFonts w:hint="eastAsia" w:ascii="宋体" w:hAnsi="宋体" w:cs="宋体"/>
          <w:sz w:val="24"/>
        </w:rPr>
        <w:t>元（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若本次采购报价超过甲方预算，甲方有权重新询价</w:t>
      </w:r>
      <w:r>
        <w:rPr>
          <w:rFonts w:hint="eastAsia" w:ascii="宋体" w:hAnsi="宋体" w:cs="宋体"/>
          <w:sz w:val="24"/>
          <w:highlight w:val="none"/>
        </w:rPr>
        <w:t>）</w:t>
      </w:r>
      <w:r>
        <w:rPr>
          <w:rFonts w:hint="eastAsia" w:ascii="宋体" w:hAnsi="宋体" w:cs="宋体"/>
          <w:sz w:val="24"/>
        </w:rPr>
        <w:t>。</w:t>
      </w:r>
    </w:p>
    <w:p w14:paraId="2764CCF1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、报价文件要求：</w:t>
      </w:r>
    </w:p>
    <w:p w14:paraId="3F51F098">
      <w:pPr>
        <w:spacing w:line="360" w:lineRule="auto"/>
        <w:ind w:firstLine="480" w:firstLineChars="200"/>
        <w:rPr>
          <w:rFonts w:ascii="宋体" w:cs="宋体"/>
          <w:sz w:val="24"/>
          <w:highlight w:val="none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hint="eastAsia" w:ascii="宋体" w:hAnsi="宋体" w:cs="宋体"/>
          <w:sz w:val="24"/>
          <w:highlight w:val="none"/>
        </w:rPr>
        <w:t>“三证合一”后的营业执照副本复印件</w:t>
      </w:r>
      <w:r>
        <w:rPr>
          <w:rFonts w:hint="eastAsia" w:ascii="宋体" w:hAnsi="宋体" w:cs="宋体"/>
          <w:sz w:val="24"/>
          <w:highlight w:val="none"/>
          <w:lang w:eastAsia="zh-CN"/>
        </w:rPr>
        <w:t>；法人身份证明书；授权委托书</w:t>
      </w:r>
      <w:r>
        <w:rPr>
          <w:rFonts w:hint="eastAsia" w:ascii="宋体" w:hAnsi="宋体" w:cs="宋体"/>
          <w:sz w:val="24"/>
          <w:highlight w:val="none"/>
        </w:rPr>
        <w:t>；</w:t>
      </w:r>
      <w:r>
        <w:rPr>
          <w:rFonts w:hint="eastAsia" w:ascii="宋体" w:hAnsi="宋体" w:cs="宋体"/>
          <w:sz w:val="24"/>
          <w:highlight w:val="yellow"/>
          <w:lang w:eastAsia="zh-CN"/>
        </w:rPr>
        <w:t>建筑业企业</w:t>
      </w:r>
      <w:r>
        <w:rPr>
          <w:rFonts w:hint="eastAsia" w:ascii="宋体" w:hAnsi="宋体" w:cs="宋体"/>
          <w:sz w:val="24"/>
          <w:highlight w:val="yellow"/>
        </w:rPr>
        <w:t>资质证书；安全生产许可证；</w:t>
      </w:r>
      <w:r>
        <w:rPr>
          <w:rFonts w:hint="eastAsia" w:ascii="宋体" w:hAnsi="宋体" w:cs="宋体"/>
          <w:sz w:val="24"/>
          <w:highlight w:val="yellow"/>
          <w:lang w:eastAsia="zh-CN"/>
        </w:rPr>
        <w:t>项目经理</w:t>
      </w:r>
      <w:r>
        <w:rPr>
          <w:rFonts w:hint="eastAsia" w:ascii="宋体" w:hAnsi="宋体" w:cs="宋体"/>
          <w:sz w:val="24"/>
          <w:highlight w:val="yellow"/>
        </w:rPr>
        <w:t>建造师证书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及安全员B证</w:t>
      </w:r>
      <w:r>
        <w:rPr>
          <w:rFonts w:hint="eastAsia" w:ascii="宋体" w:hAnsi="宋体" w:cs="宋体"/>
          <w:sz w:val="24"/>
          <w:highlight w:val="yellow"/>
        </w:rPr>
        <w:t>；</w:t>
      </w:r>
      <w:r>
        <w:rPr>
          <w:rFonts w:hint="eastAsia" w:ascii="宋体" w:hAnsi="宋体" w:cs="宋体"/>
          <w:sz w:val="24"/>
          <w:highlight w:val="yellow"/>
          <w:lang w:eastAsia="zh-CN"/>
        </w:rPr>
        <w:t>安全员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C证</w:t>
      </w:r>
      <w:r>
        <w:rPr>
          <w:rFonts w:hint="eastAsia" w:ascii="宋体" w:hAnsi="宋体" w:cs="宋体"/>
          <w:sz w:val="24"/>
          <w:highlight w:val="yellow"/>
          <w:lang w:eastAsia="zh-CN"/>
        </w:rPr>
        <w:t>证书；</w:t>
      </w:r>
      <w:r>
        <w:rPr>
          <w:rFonts w:hint="eastAsia" w:ascii="宋体" w:hAnsi="宋体" w:cs="宋体"/>
          <w:sz w:val="24"/>
          <w:highlight w:val="none"/>
          <w:lang w:eastAsia="zh-CN"/>
        </w:rPr>
        <w:t>依法缴纳税收的记录（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2025年内</w:t>
      </w:r>
      <w:r>
        <w:rPr>
          <w:rFonts w:hint="eastAsia" w:ascii="宋体" w:hAnsi="宋体" w:cs="宋体"/>
          <w:sz w:val="24"/>
          <w:highlight w:val="none"/>
          <w:lang w:eastAsia="zh-CN"/>
        </w:rPr>
        <w:t>三个月【税收所属日期】）；无不良信用查询记录；承诺书（具体格式详见附录）</w:t>
      </w:r>
      <w:r>
        <w:rPr>
          <w:rFonts w:hint="eastAsia" w:ascii="宋体" w:hAnsi="宋体" w:cs="宋体"/>
          <w:sz w:val="24"/>
          <w:lang w:eastAsia="zh-CN"/>
        </w:rPr>
        <w:t>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none"/>
          <w:lang w:eastAsia="zh-CN"/>
        </w:rPr>
        <w:t>压缩包必须以项目名称命名，报价单位邮箱名尽量以单位名称命名！）</w:t>
      </w:r>
    </w:p>
    <w:p w14:paraId="4702CC75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 w14:paraId="526FDD5F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 w14:paraId="7B46990A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 w14:paraId="76144222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 w14:paraId="45631618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 w14:paraId="7DCDB476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 w14:paraId="18581831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本工程无预付款，工程完工、并经双方初步验收合格后，乙方提供给甲方合法合规、真实有效的增值税专用发票，甲方付至合同价60%，工程二次验收合格并经审计后甲方在1个月内付至审计结算价的97%，剩余3％作为质保金。质保期1年，质保期满且无质量问题后1个月内无息付清余款（如果国家政策有变动，依据国家最新政策变动）。每次付款前如果乙方未提供合规增值税专用发票，甲方有权拒付相应款项。</w:t>
      </w:r>
    </w:p>
    <w:p w14:paraId="4CDDA963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 w14:paraId="6946C22E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 w14:paraId="79C67C99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询价</w:t>
      </w: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 w14:paraId="604F826D"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（请与询价联系人联系获取图纸和清单）</w:t>
      </w:r>
    </w:p>
    <w:p w14:paraId="3271B8DD"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项目联系人：许先生           电话：18115867321 </w:t>
      </w:r>
    </w:p>
    <w:p w14:paraId="68C77D12"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</w:t>
      </w:r>
    </w:p>
    <w:p w14:paraId="7EF3B92A">
      <w:pPr>
        <w:spacing w:line="360" w:lineRule="auto"/>
        <w:ind w:right="560" w:firstLine="480" w:firstLineChars="200"/>
        <w:jc w:val="right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25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19</w:t>
      </w:r>
      <w:r>
        <w:rPr>
          <w:rFonts w:hint="eastAsia" w:ascii="宋体" w:hAnsi="宋体" w:cs="宋体"/>
          <w:sz w:val="24"/>
          <w:highlight w:val="none"/>
        </w:rPr>
        <w:t>日</w:t>
      </w:r>
    </w:p>
    <w:p w14:paraId="7D961E86">
      <w:pPr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br w:type="page"/>
      </w:r>
    </w:p>
    <w:p w14:paraId="6070CC71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 w14:paraId="1C2B6471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 w14:paraId="7D95D8C6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1、报价函（加盖公章，须报报价分析明细表）</w:t>
      </w:r>
    </w:p>
    <w:p w14:paraId="4848FCF0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 w14:paraId="71B78CE2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 w14:paraId="1E745E29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 w14:paraId="5B4127F5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5、建筑业企业资质证书；安全生产许可证；项目经理建造师证书及安全员B证；安全员C证证书；（复印件加盖公章）</w:t>
      </w:r>
    </w:p>
    <w:p w14:paraId="2B419F5D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6、依法缴纳税收的记录（</w:t>
      </w:r>
      <w:r>
        <w:rPr>
          <w:rFonts w:hint="eastAsia" w:ascii="宋体" w:hAnsi="宋体" w:cs="宋体"/>
          <w:b/>
          <w:bCs/>
          <w:sz w:val="36"/>
          <w:szCs w:val="36"/>
          <w:highlight w:val="yellow"/>
          <w:lang w:val="en-US" w:eastAsia="zh-CN"/>
        </w:rPr>
        <w:t>2025年内三个月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【税收所属日期】）（加盖公章）</w:t>
      </w:r>
    </w:p>
    <w:p w14:paraId="1EA560FA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 w14:paraId="0F087D12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8、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承诺书（需签字盖章）</w:t>
      </w:r>
    </w:p>
    <w:p w14:paraId="6C800022">
      <w:pPr>
        <w:spacing w:line="360" w:lineRule="auto"/>
        <w:ind w:right="560"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9、清单</w:t>
      </w:r>
    </w:p>
    <w:p w14:paraId="146F5F4E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1663211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70D3DBFF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6B548694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449719EF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67B8D6FD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72799553">
      <w:pPr>
        <w:pStyle w:val="7"/>
        <w:rPr>
          <w:rFonts w:hint="eastAsia" w:ascii="宋体" w:hAnsi="宋体" w:cs="宋体"/>
          <w:sz w:val="24"/>
        </w:rPr>
      </w:pPr>
    </w:p>
    <w:p w14:paraId="618574EF">
      <w:pPr>
        <w:pStyle w:val="7"/>
        <w:rPr>
          <w:rFonts w:hint="eastAsia" w:ascii="宋体" w:hAnsi="宋体" w:cs="宋体"/>
          <w:sz w:val="24"/>
        </w:rPr>
      </w:pPr>
    </w:p>
    <w:p w14:paraId="4F0BFC35">
      <w:pPr>
        <w:pStyle w:val="7"/>
        <w:rPr>
          <w:rFonts w:hint="eastAsia" w:ascii="宋体" w:hAnsi="宋体" w:cs="宋体"/>
          <w:sz w:val="24"/>
        </w:rPr>
      </w:pPr>
    </w:p>
    <w:p w14:paraId="05551EE4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735B2CC8">
      <w:pPr>
        <w:pStyle w:val="7"/>
        <w:ind w:left="0" w:leftChars="0" w:firstLine="0" w:firstLineChars="0"/>
        <w:rPr>
          <w:rFonts w:hint="eastAsia" w:ascii="宋体" w:hAnsi="宋体" w:cs="宋体"/>
          <w:sz w:val="24"/>
        </w:rPr>
      </w:pPr>
    </w:p>
    <w:p w14:paraId="44D4CA51">
      <w:pPr>
        <w:numPr>
          <w:ilvl w:val="0"/>
          <w:numId w:val="1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 w14:paraId="72B89432"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一览表（需签字盖章）</w:t>
      </w:r>
    </w:p>
    <w:p w14:paraId="04917E9F"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8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 w14:paraId="773225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 w14:paraId="4C61FE51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 w14:paraId="6B32C9F2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1FA8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628" w:type="dxa"/>
            <w:vAlign w:val="center"/>
          </w:tcPr>
          <w:p w14:paraId="01246827"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6053" w:type="dxa"/>
            <w:vAlign w:val="center"/>
          </w:tcPr>
          <w:p w14:paraId="3D6ACF54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5536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 w14:paraId="59CD3AB6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投标价格</w:t>
            </w:r>
          </w:p>
        </w:tc>
        <w:tc>
          <w:tcPr>
            <w:tcW w:w="6053" w:type="dxa"/>
            <w:vAlign w:val="center"/>
          </w:tcPr>
          <w:p w14:paraId="6ADC271B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63C8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 w14:paraId="61D0E159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   期</w:t>
            </w:r>
          </w:p>
        </w:tc>
        <w:tc>
          <w:tcPr>
            <w:tcW w:w="6053" w:type="dxa"/>
            <w:vAlign w:val="center"/>
          </w:tcPr>
          <w:p w14:paraId="5C960CAE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8105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 w14:paraId="750BAA0C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 w14:paraId="0C29BEDA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82C5F89">
      <w:pPr>
        <w:spacing w:line="360" w:lineRule="auto"/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1" w:name="_Toc14163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注：投标报价包括：施工设备、劳务、管理、材料、安装、维护、利润、税金等相关费用</w:t>
      </w:r>
      <w:bookmarkEnd w:id="1"/>
    </w:p>
    <w:p w14:paraId="620BFFAE">
      <w:pPr>
        <w:spacing w:line="360" w:lineRule="auto"/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其中：安全文明施工费中基本费费率为3.1%；扬尘污染防治增加费为0.31%；规费中社会保险费费率为3.2%、住房公积金费率为0.53%、环境保护税费率为0.1%、税金费率为9% </w:t>
      </w:r>
    </w:p>
    <w:p w14:paraId="2AFB9DAF">
      <w:pPr>
        <w:spacing w:line="360" w:lineRule="auto"/>
        <w:ind w:left="424" w:leftChars="202" w:firstLine="422" w:firstLineChars="176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投标人名称：</w:t>
      </w:r>
    </w:p>
    <w:p w14:paraId="3AE13E34">
      <w:pPr>
        <w:spacing w:line="360" w:lineRule="auto"/>
        <w:ind w:left="424" w:leftChars="202" w:firstLine="422" w:firstLineChars="176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投标人公章:</w:t>
      </w:r>
    </w:p>
    <w:p w14:paraId="3E10B6AE">
      <w:pPr>
        <w:spacing w:line="360" w:lineRule="auto"/>
        <w:ind w:left="424" w:leftChars="202" w:firstLine="422" w:firstLineChars="176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:</w:t>
      </w:r>
    </w:p>
    <w:p w14:paraId="09BCDCDD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联系方式:</w:t>
      </w:r>
    </w:p>
    <w:p w14:paraId="43C253D4">
      <w:pPr>
        <w:spacing w:line="360" w:lineRule="auto"/>
        <w:ind w:left="424" w:leftChars="202" w:firstLine="422" w:firstLineChars="176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:</w:t>
      </w:r>
    </w:p>
    <w:p w14:paraId="7859744D">
      <w:pPr>
        <w:spacing w:line="360" w:lineRule="auto"/>
        <w:ind w:left="424" w:leftChars="202" w:firstLine="371" w:firstLineChars="176"/>
        <w:rPr>
          <w:rFonts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注意：1、投标报价应包括招标文件所规定的招标范围的全部内容。</w:t>
      </w:r>
    </w:p>
    <w:p w14:paraId="0949C6AA">
      <w:pPr>
        <w:spacing w:line="276" w:lineRule="auto"/>
        <w:ind w:left="424" w:leftChars="202" w:firstLine="371" w:firstLineChars="176"/>
        <w:rPr>
          <w:rFonts w:cs="仿宋_GB2312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2" w:name="_Toc262828094"/>
      <w:r>
        <w:rPr>
          <w:rFonts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page"/>
      </w:r>
    </w:p>
    <w:bookmarkEnd w:id="2"/>
    <w:p w14:paraId="0C429C85">
      <w:pPr>
        <w:keepNext/>
        <w:keepLines/>
        <w:spacing w:before="260" w:after="260" w:line="360" w:lineRule="auto"/>
        <w:ind w:left="424" w:leftChars="202" w:firstLine="495" w:firstLineChars="176"/>
        <w:jc w:val="center"/>
        <w:outlineLvl w:val="1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bookmarkStart w:id="3" w:name="_Toc60818732"/>
      <w:bookmarkStart w:id="4" w:name="_Toc62734871"/>
      <w:bookmarkStart w:id="5" w:name="_Toc61871372"/>
      <w:bookmarkStart w:id="6" w:name="_Toc61871288"/>
      <w:bookmarkStart w:id="7" w:name="_Toc61877376"/>
      <w:bookmarkStart w:id="8" w:name="_Toc12468"/>
      <w:bookmarkStart w:id="9" w:name="_Toc15989"/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（2）</w:t>
      </w:r>
      <w:bookmarkEnd w:id="3"/>
      <w:bookmarkEnd w:id="4"/>
      <w:bookmarkEnd w:id="5"/>
      <w:bookmarkEnd w:id="6"/>
      <w:bookmarkEnd w:id="7"/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报价清单</w:t>
      </w:r>
      <w:bookmarkEnd w:id="8"/>
      <w:bookmarkEnd w:id="9"/>
    </w:p>
    <w:p w14:paraId="4820284C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1B1218B8">
      <w:pPr>
        <w:pStyle w:val="7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14D05743">
      <w:pPr>
        <w:pStyle w:val="7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1303EC21">
      <w:pPr>
        <w:pStyle w:val="7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1EC28D34">
      <w:pPr>
        <w:pStyle w:val="7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299AEF47">
      <w:pPr>
        <w:pStyle w:val="7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1270ABE1">
      <w:pPr>
        <w:pStyle w:val="7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76C629FA">
      <w:pPr>
        <w:pStyle w:val="7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2DD82417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35533B26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4BA03BEA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58242BA3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0E98CDCC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2EB4D0AC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281876ED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0FFFE36C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15240DB6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1E7DD921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4A8D202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1FB28265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 w14:paraId="11BC361A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 w14:paraId="26B039D7"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 w14:paraId="6A4AA2C9">
      <w:pPr>
        <w:bidi w:val="0"/>
        <w:jc w:val="center"/>
        <w:rPr>
          <w:b/>
          <w:sz w:val="36"/>
        </w:rPr>
      </w:pPr>
    </w:p>
    <w:p w14:paraId="7E9D1F68"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 w14:paraId="52859DA3">
      <w:pPr>
        <w:bidi w:val="0"/>
        <w:spacing w:line="440" w:lineRule="exact"/>
        <w:ind w:firstLine="610"/>
        <w:rPr>
          <w:sz w:val="24"/>
        </w:rPr>
      </w:pPr>
    </w:p>
    <w:p w14:paraId="5D98F208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 w14:paraId="27EEA2D6">
      <w:pPr>
        <w:bidi w:val="0"/>
        <w:spacing w:line="440" w:lineRule="exact"/>
        <w:ind w:firstLine="610"/>
        <w:rPr>
          <w:sz w:val="24"/>
        </w:rPr>
      </w:pPr>
    </w:p>
    <w:p w14:paraId="4512B077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 w14:paraId="68FACD05">
      <w:pPr>
        <w:bidi w:val="0"/>
        <w:spacing w:line="440" w:lineRule="exact"/>
        <w:ind w:firstLine="610"/>
        <w:rPr>
          <w:sz w:val="24"/>
        </w:rPr>
      </w:pPr>
    </w:p>
    <w:p w14:paraId="6F124886"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 w14:paraId="7977A911">
      <w:pPr>
        <w:bidi w:val="0"/>
        <w:spacing w:line="440" w:lineRule="exact"/>
        <w:ind w:firstLine="610"/>
        <w:rPr>
          <w:sz w:val="24"/>
        </w:rPr>
      </w:pPr>
    </w:p>
    <w:p w14:paraId="3AFA1429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 w14:paraId="74FA2BE2">
      <w:pPr>
        <w:bidi w:val="0"/>
        <w:spacing w:line="440" w:lineRule="exact"/>
        <w:ind w:firstLine="610"/>
        <w:rPr>
          <w:sz w:val="24"/>
        </w:rPr>
      </w:pPr>
    </w:p>
    <w:p w14:paraId="76CDD13E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 w14:paraId="4D0F9ED9">
      <w:pPr>
        <w:bidi w:val="0"/>
        <w:spacing w:line="440" w:lineRule="exact"/>
        <w:ind w:firstLine="610"/>
        <w:rPr>
          <w:sz w:val="24"/>
        </w:rPr>
      </w:pPr>
    </w:p>
    <w:p w14:paraId="31AEADA9"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（投标人单位名称）         </w:t>
      </w:r>
      <w:r>
        <w:rPr>
          <w:sz w:val="24"/>
        </w:rPr>
        <w:t>的法定代表人。</w:t>
      </w:r>
    </w:p>
    <w:p w14:paraId="78F1521D">
      <w:pPr>
        <w:bidi w:val="0"/>
        <w:spacing w:line="440" w:lineRule="exact"/>
        <w:ind w:firstLine="610"/>
        <w:rPr>
          <w:sz w:val="24"/>
        </w:rPr>
      </w:pPr>
    </w:p>
    <w:p w14:paraId="40E39FBF"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 w14:paraId="2E2189FA"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 w14:paraId="12C7B33C">
      <w:pPr>
        <w:bidi w:val="0"/>
        <w:spacing w:line="440" w:lineRule="exact"/>
        <w:ind w:firstLine="610"/>
        <w:rPr>
          <w:rFonts w:hint="eastAsia"/>
          <w:sz w:val="24"/>
        </w:rPr>
      </w:pPr>
    </w:p>
    <w:p w14:paraId="077920C9">
      <w:pPr>
        <w:bidi w:val="0"/>
        <w:spacing w:line="440" w:lineRule="exact"/>
        <w:rPr>
          <w:rFonts w:hint="eastAsia"/>
          <w:sz w:val="24"/>
        </w:rPr>
      </w:pPr>
    </w:p>
    <w:p w14:paraId="64471A3C">
      <w:pPr>
        <w:bidi w:val="0"/>
        <w:spacing w:line="440" w:lineRule="exact"/>
        <w:ind w:firstLine="610"/>
        <w:rPr>
          <w:rFonts w:hint="eastAsia"/>
          <w:sz w:val="24"/>
        </w:rPr>
      </w:pPr>
    </w:p>
    <w:p w14:paraId="478445DE"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 w14:paraId="236D4DAE"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>投标人：</w:t>
      </w:r>
      <w:r>
        <w:rPr>
          <w:sz w:val="24"/>
          <w:u w:val="single"/>
        </w:rPr>
        <w:t xml:space="preserve">         （盖公章）       </w:t>
      </w:r>
    </w:p>
    <w:p w14:paraId="7F2552FA"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 w14:paraId="4C21A564"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 w14:paraId="6F0B5B83">
      <w:pPr>
        <w:tabs>
          <w:tab w:val="left" w:pos="720"/>
          <w:tab w:val="left" w:pos="900"/>
        </w:tabs>
        <w:bidi w:val="0"/>
        <w:ind w:left="1078"/>
        <w:rPr>
          <w:rFonts w:hint="eastAsia"/>
          <w:sz w:val="24"/>
        </w:rPr>
      </w:pPr>
    </w:p>
    <w:p w14:paraId="70CCC65A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 w14:paraId="49C0B8B8"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 w14:paraId="37547EF2"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（投标人名称）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（项目名称）的标段（）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项目施工投标文件、签订合同和处理有关事宜，其法律后果由我方承担。</w:t>
      </w:r>
    </w:p>
    <w:p w14:paraId="7944A8B1"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43847B53"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 w14:paraId="2D330D33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4A629F7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CF22AA9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20057FC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A676A2A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投标人：（盖单位章）</w:t>
      </w:r>
    </w:p>
    <w:p w14:paraId="683A39C1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316CBD2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 w14:paraId="58F6509E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D7A7F6F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 w14:paraId="1FB88873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B02BC88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 w14:paraId="78123514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7B02E64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 w14:paraId="7FD0E678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 w14:paraId="39D2AAB6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 w14:paraId="15AAB5DB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 w14:paraId="54A12C47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7B49D46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70A410B"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88027AE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6FD20AB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0C6F29B"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D4851E0"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 w14:paraId="277C1FA9"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A04C470"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4B0C61C"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 w14:paraId="2056C99E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5、建筑业企业资质证书；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安全生产许可证；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项目经理建造师证书及安全员B证；安全员C证证书；（复印件加盖公章）</w:t>
      </w:r>
    </w:p>
    <w:p w14:paraId="411B3CC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6、依法缴纳税收的记录（</w:t>
      </w:r>
      <w:r>
        <w:rPr>
          <w:rFonts w:hint="eastAsia" w:ascii="宋体" w:hAnsi="宋体" w:cs="宋体"/>
          <w:b/>
          <w:bCs/>
          <w:sz w:val="36"/>
          <w:szCs w:val="36"/>
          <w:highlight w:val="yellow"/>
          <w:lang w:val="en-US" w:eastAsia="zh-CN"/>
        </w:rPr>
        <w:t>2025年内三个月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【税收所属日期】）（加盖公章）</w:t>
      </w:r>
    </w:p>
    <w:p w14:paraId="1A103D55"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 w14:paraId="3DD134AB"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 w14:paraId="4792B36E"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3836035</wp:posOffset>
                </wp:positionH>
                <wp:positionV relativeFrom="paragraph">
                  <wp:posOffset>1005840</wp:posOffset>
                </wp:positionV>
                <wp:extent cx="241935" cy="389890"/>
                <wp:effectExtent l="12700" t="12700" r="31115" b="16510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1BEC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02.05pt;margin-top:79.2pt;height:30.7pt;width:19.05pt;z-index:251661312;v-text-anchor:middle;mso-width-relative:page;mso-height-relative:page;" fillcolor="#C00000" filled="t" stroked="t" coordsize="21600,21600" o:gfxdata="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wuu/f1wAAAAsBAAAPAAAAAAAAAAEAIAAAACIAAABkcnMvZG93bnJldi54bWxQSwECFAAU&#10;AAAACACHTuJA+0Ns3p0CAAAzBQAADgAAAAAAAAABACAAAAAmAQAAZHJzL2Uyb0RvYy54bWxQSwUG&#10;AAAAAAYABgBZAQAANQYAAAAA&#10;" adj="14899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 w14:paraId="6C1BEC1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2974975</wp:posOffset>
                </wp:positionH>
                <wp:positionV relativeFrom="paragraph">
                  <wp:posOffset>1438275</wp:posOffset>
                </wp:positionV>
                <wp:extent cx="1636395" cy="433070"/>
                <wp:effectExtent l="12700" t="12700" r="27305" b="30480"/>
                <wp:wrapNone/>
                <wp:docPr id="3" name="流程图: 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47FCA9"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34.25pt;margin-top:113.25pt;height:34.1pt;width:128.85pt;z-index:251659264;v-text-anchor:middle;mso-width-relative:page;mso-height-relative:page;" filled="f" stroked="t" coordsize="21600,21600" o:gfxdata="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bHJ96dkAAAALAQAADwAAAAAAAAABACAAAAAiAAAAZHJzL2Rvd25yZXYueG1sUEsBAhQAFAAA&#10;AAgAh07iQHCrA1+ZAgAABAUAAA4AAAAAAAAAAQAgAAAAKAEAAGRycy9lMm9Eb2MueG1sUEsFBgAA&#10;AAAGAAYAWQEAADMGAAAAAA==&#10;">
                <v:fill on="f" focussize="0,0"/>
                <v:stroke weight="2pt" color="#254061 [1604]" joinstyle="round"/>
                <v:imagedata o:title=""/>
                <o:lock v:ext="edit" aspectratio="f"/>
                <v:textbox>
                  <w:txbxContent>
                    <w:p w14:paraId="2A47FCA9"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2557145"/>
            <wp:effectExtent l="0" t="0" r="6985" b="14605"/>
            <wp:docPr id="9" name="图片 9" descr="C:/Users/Administrator/Desktop/1714111333752.png1714111333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Administrator/Desktop/1714111333752.png1714111333752"/>
                    <pic:cNvPicPr>
                      <a:picLocks noChangeAspect="1"/>
                    </pic:cNvPicPr>
                  </pic:nvPicPr>
                  <pic:blipFill>
                    <a:blip r:embed="rId4"/>
                    <a:srcRect t="5392" b="539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5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60504"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1925955</wp:posOffset>
                </wp:positionH>
                <wp:positionV relativeFrom="paragraph">
                  <wp:posOffset>1420495</wp:posOffset>
                </wp:positionV>
                <wp:extent cx="1186815" cy="519430"/>
                <wp:effectExtent l="12700" t="12700" r="19685" b="2032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297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1.65pt;margin-top:111.85pt;height:40.9pt;width:93.45pt;z-index:251660288;v-text-anchor:middle;mso-width-relative:page;mso-height-relative:page;" filled="f" stroked="t" coordsize="21600,21600" o:gfxdata="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h9gft2gAAAAsBAAAPAAAA&#10;AAAAAAEAIAAAACIAAABkcnMvZG93bnJldi54bWxQSwECFAAUAAAACACHTuJAsbwltYUCAADvBAAA&#10;DgAAAAAAAAABACAAAAApAQAAZHJzL2Uyb0RvYy54bWxQSwUGAAAAAAYABgBZAQAAIAYAAAAA&#10;">
                <v:fill on="f" focussize="0,0"/>
                <v:stroke weight="2pt" color="#10253F [1615]" joinstyle="round"/>
                <v:imagedata o:title=""/>
                <o:lock v:ext="edit" aspectratio="f"/>
                <v:textbox>
                  <w:txbxContent>
                    <w:p w14:paraId="1C0297D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949960</wp:posOffset>
                </wp:positionV>
                <wp:extent cx="268605" cy="450215"/>
                <wp:effectExtent l="12700" t="12700" r="23495" b="13335"/>
                <wp:wrapNone/>
                <wp:docPr id="11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C215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4.55pt;margin-top:74.8pt;height:35.45pt;width:21.15pt;z-index:251662336;v-text-anchor:middle;mso-width-relative:page;mso-height-relative:page;" fillcolor="#C00000" filled="t" stroked="t" coordsize="21600,21600" o:gfxdata="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+tuSENkAAAALAQAADwAAAAAAAAABACAAAAAiAAAAZHJzL2Rvd25yZXYueG1sUEsBAhQA&#10;FAAAAAgAh07iQJJ/s3ycAgAANQUAAA4AAAAAAAAAAQAgAAAAKAEAAGRycy9lMm9Eb2MueG1sUEsF&#10;BgAAAAAGAAYAWQEAADYGAAAAAA==&#10;" adj="15157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 w14:paraId="25C215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503170"/>
            <wp:effectExtent l="0" t="0" r="1905" b="11430"/>
            <wp:docPr id="12" name="图片 12" descr="C:/Users/Administrator/Desktop/1714111349745.png1714111349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Administrator/Desktop/1714111349745.png1714111349745"/>
                    <pic:cNvPicPr>
                      <a:picLocks noChangeAspect="1"/>
                    </pic:cNvPicPr>
                  </pic:nvPicPr>
                  <pic:blipFill>
                    <a:blip r:embed="rId5"/>
                    <a:srcRect t="9251" b="9251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50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6FCEE">
      <w:pPr>
        <w:numPr>
          <w:ilvl w:val="0"/>
          <w:numId w:val="0"/>
        </w:numPr>
        <w:spacing w:line="360" w:lineRule="auto"/>
        <w:ind w:leftChars="0"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8、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承诺书（需签字盖章）</w:t>
      </w:r>
    </w:p>
    <w:p w14:paraId="1B029448"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 w14:paraId="11B89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 w14:paraId="3A4F7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 w14:paraId="78C58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 w14:paraId="2B4F1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7F4FB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 w14:paraId="0B625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 w14:paraId="30CEC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 w14:paraId="1FADE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655A7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 w14:paraId="4E45A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 w14:paraId="21E9C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 w14:paraId="2E6B5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 w14:paraId="02123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4F4F3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6A62E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 w14:paraId="35A2E902"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 w14:paraId="3A581BC9"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 w14:paraId="655134DF"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 w14:paraId="36A55B90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 w14:paraId="2E97E4E9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 w14:paraId="18594B78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 w14:paraId="19307EA3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 w14:paraId="236696E3"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 w14:paraId="7E2C1782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 w14:paraId="349690E9"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 w14:paraId="2E266DC1"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695055FB">
      <w:pPr>
        <w:numPr>
          <w:ilvl w:val="0"/>
          <w:numId w:val="0"/>
        </w:numPr>
        <w:spacing w:line="360" w:lineRule="auto"/>
        <w:ind w:leftChars="0"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7E3D56A9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41E67E36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19003FC5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71DFA3F9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08380ABE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6AAC9F48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13BC1257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3F1AF766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3E696C6E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562E665F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30B2F848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2C5DB407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7ADB1527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1CD20383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6F999C7E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7C95CA1E">
      <w:pPr>
        <w:numPr>
          <w:ilvl w:val="0"/>
          <w:numId w:val="2"/>
        </w:numPr>
        <w:spacing w:line="360" w:lineRule="auto"/>
        <w:ind w:leftChars="0"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清单</w:t>
      </w:r>
    </w:p>
    <w:tbl>
      <w:tblPr>
        <w:tblStyle w:val="8"/>
        <w:tblW w:w="10020" w:type="dxa"/>
        <w:tblInd w:w="-6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863"/>
        <w:gridCol w:w="1075"/>
        <w:gridCol w:w="1625"/>
        <w:gridCol w:w="2487"/>
        <w:gridCol w:w="388"/>
        <w:gridCol w:w="262"/>
        <w:gridCol w:w="613"/>
        <w:gridCol w:w="737"/>
        <w:gridCol w:w="625"/>
        <w:gridCol w:w="870"/>
      </w:tblGrid>
      <w:tr w14:paraId="6D90C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00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AF32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 w14:paraId="48748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0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300E68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工程名称：变电所维修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762BFC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标段：变电所维修</w:t>
            </w:r>
          </w:p>
        </w:tc>
        <w:tc>
          <w:tcPr>
            <w:tcW w:w="3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2D23AB6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页  共 3页</w:t>
            </w:r>
          </w:p>
        </w:tc>
      </w:tr>
      <w:tr w14:paraId="41F3A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056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6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B90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07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34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112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0E1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65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52B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61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D9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2232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218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</w:tr>
      <w:tr w14:paraId="6C829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4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910A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539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9597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2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6A9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B2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B5F2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3C0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28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综合合价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A301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其中：暂估价</w:t>
            </w:r>
          </w:p>
        </w:tc>
      </w:tr>
      <w:tr w14:paraId="28834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927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4951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727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整个项目</w:t>
            </w:r>
          </w:p>
        </w:tc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A3481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0C84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FDDB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99DC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47C5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016C9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05A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C5B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27A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010101001001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E0E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新城花园5#变电所</w:t>
            </w:r>
          </w:p>
        </w:tc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0BF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包含排风扇（400系列）、接地带安装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排风扇（400系列）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1、项目名称：SF6配电装置室防爆事故排风扇安装，直径400mm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2、安装方式：墙上安装，含配套防雨罩及金属防护网  其他：含配套的减振吊架或支架制作安装及防腐处理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接地带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1、接地母线安装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2、材质（如镀锌扁钢），规格（-50×6），安装方式（明敷），部位（如电气室内沿墙），包括但不限于做防腐处理，涂刷黄绿漆等</w:t>
            </w: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EF8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1694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5B2E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4462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D5051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403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A0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198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010101001002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7E6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新城花园2#变电所</w:t>
            </w:r>
          </w:p>
        </w:tc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311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包含排风扇（400系列）加装防雨罩八角井表面处理、屋面外沿装饰条拆除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1、排风扇（400系列）SF6配电装置室防爆事故排风扇安装，直径400mm、墙上安装，含配套防雨罩及金属防护网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其他：含配套的减振吊架或支架制作安装及防腐处理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2.八角井盖表面全部起沙，表面打磨、采用细石砂灰表面找补2遍</w:t>
            </w: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5D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3EB0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92AE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9090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9BC03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485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BCE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E6E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010101001003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D17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新城花园1#变电所</w:t>
            </w:r>
          </w:p>
        </w:tc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8AE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包括但不限于墙面修复、加排风扇及外面防雨罩等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1、墙面修复：20mm厚1:2.5水泥砂浆找平层，内掺5%防水剂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聚氨酯防水涂料2毫米厚，一纵一横两遍，墙面包含但不限于铲除、修复、抹面等过程，刷乳胶漆3遍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2、排风扇防雨罩具体施工工艺同上</w:t>
            </w: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B4E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6542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8890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DA34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FF341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D11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525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72190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4F81EE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7735BD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020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0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3E8D423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注：为计取规费等的使用，可在表中增设其中：“定额人工费”。</w:t>
            </w:r>
          </w:p>
        </w:tc>
      </w:tr>
      <w:tr w14:paraId="24DDB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40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288FCA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567C23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2E7D03F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表—08</w:t>
            </w:r>
          </w:p>
        </w:tc>
      </w:tr>
      <w:tr w14:paraId="38201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00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71C3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 w14:paraId="18F5E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40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512899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工程名称：变电所维修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513DF8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标段：变电所维修</w:t>
            </w:r>
          </w:p>
        </w:tc>
        <w:tc>
          <w:tcPr>
            <w:tcW w:w="3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3ABACAB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 页  共 3 页</w:t>
            </w:r>
          </w:p>
        </w:tc>
      </w:tr>
      <w:tr w14:paraId="48B6D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3D7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6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5D3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07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0A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112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8F1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65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315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61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1E2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2232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050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</w:tr>
      <w:tr w14:paraId="22BBF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BC2F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160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DFF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2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8A4E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B41E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281C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8A7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54C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综合合价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76A1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其中：暂估价</w:t>
            </w:r>
          </w:p>
        </w:tc>
      </w:tr>
      <w:tr w14:paraId="361B0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5B3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A46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010101001004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D47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新城花园3#变电所</w:t>
            </w:r>
          </w:p>
        </w:tc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FDA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包括但不限于钢制防火门、屋面修补、墙面修补、接地、电井补孔等工艺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1、墙面修复：20mm厚1:2.5水泥砂浆找平层，内掺5%防水剂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聚氨酯防水涂料2毫米厚，一纵一横两遍，内墙面包含但不限于铲除、修复、抹面等过程，刷乳胶漆3遍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2、屋面修复：20mm厚1:2.5水泥砂浆找平层，内掺5%防水剂，SBS改性沥青防水卷材，卷材厚度不低于3mm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3、排风扇防雨罩、接地具体施工工艺同上</w:t>
            </w: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190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42EB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0E85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2705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152BF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D85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94D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8D8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010101001005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FFB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新城花园4号变</w:t>
            </w:r>
          </w:p>
        </w:tc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DD9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包括但不限于钢制防火门、屋面修补、墙面修补、接地、电井补孔等工艺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1、墙面修复：20mm厚1:2.5水泥砂浆找平层，内掺5%防水剂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聚氨酯防水涂料2毫米厚，一纵一横两遍，内墙面包含但不限于铲除、修复、抹面等过程，刷乳胶漆3遍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2、屋面修复：20mm厚1:2.5水泥砂浆找平层，内掺5%防水剂，SBS改性沥青防水卷材，卷材厚度不低于3mm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3、防火门、接地型号具体施工工艺同上</w:t>
            </w: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F16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84FD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F3A8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D9D2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7AAE4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A36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C6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BBC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010101001006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272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裕源变</w:t>
            </w:r>
          </w:p>
        </w:tc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365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包括但不限于钢制防火门、屋面修补、排风扇防雨罩等工艺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具体型号、工艺流程如上</w:t>
            </w: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8A1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DC00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B100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7A4B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E3581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48C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560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A7C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010101001007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EA8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裕泰新村变</w:t>
            </w:r>
          </w:p>
        </w:tc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4D3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包括但不限于墙面修补、排风扇防雨罩等工艺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具体型号、工艺流程如上</w:t>
            </w: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545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3E89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2144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1819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587B3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9C6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DA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B7A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010101001008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E68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香河情清缘职工小区1号变</w:t>
            </w:r>
          </w:p>
        </w:tc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0DE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包括但不限于钢制防火门、排风扇防雨罩等工艺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具体型号、工艺流程如上</w:t>
            </w: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CF5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98B9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B1F2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162C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F7866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842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525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3050C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516BAB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6BEF40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5CB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0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0AAC03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注：为计取规费等的使用，可在表中增设其中：“定额人工费”。</w:t>
            </w:r>
          </w:p>
        </w:tc>
      </w:tr>
      <w:tr w14:paraId="2F548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40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15EA62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06F0274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07B3949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表—08</w:t>
            </w:r>
          </w:p>
        </w:tc>
      </w:tr>
      <w:tr w14:paraId="6375E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00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A9A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 w14:paraId="1BF13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40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00A05B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工程名称：变电所维修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103E99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标段：变电所维修</w:t>
            </w:r>
          </w:p>
        </w:tc>
        <w:tc>
          <w:tcPr>
            <w:tcW w:w="3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419A768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3 页  共 3 页</w:t>
            </w:r>
          </w:p>
        </w:tc>
      </w:tr>
      <w:tr w14:paraId="77E65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76C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6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3D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07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2A5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112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A1C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65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FF2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61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1FB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2232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E3B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</w:tr>
      <w:tr w14:paraId="5E7A0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4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EF7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941F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9D3C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2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E66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A1B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DB5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86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FA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综合合价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07B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其中：暂估价</w:t>
            </w:r>
          </w:p>
        </w:tc>
      </w:tr>
      <w:tr w14:paraId="16FF3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B63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90A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010101001009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E5A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香河小区2号变</w:t>
            </w:r>
          </w:p>
        </w:tc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0D5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包括但不限于接地、排风扇防雨罩等工艺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具体型号、工艺流程如上</w:t>
            </w: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22F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2713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4A68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9708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53D8A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55D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277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DF3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010101001010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181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徐圩幸福家园2号变</w:t>
            </w:r>
          </w:p>
        </w:tc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CE5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包括但不限于接地、排风扇防雨罩等工艺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具体型号、工艺流程如上</w:t>
            </w: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8C4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35D8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40CE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4DDA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06E8F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50A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F37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63F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010101001011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700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幸福家园3号变</w:t>
            </w:r>
          </w:p>
        </w:tc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7F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包括但不限于接地、排风扇防雨罩等工艺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具体型号、工艺流程如上</w:t>
            </w: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EF3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BB92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C7B2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9C95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32B2C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0EE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A61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332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010101001013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F4C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灌西小区1号变</w:t>
            </w:r>
          </w:p>
        </w:tc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FBF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包括但不限于接地、排风扇防雨罩、防火门等工艺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具体型号、工艺流程如上</w:t>
            </w: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D1F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930D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528C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C4A9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4732E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59A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EC0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628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010101001014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C75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灌西小区2号变</w:t>
            </w:r>
          </w:p>
        </w:tc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6AC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包括但不限于接地、排风扇防雨罩、墙面修补、防火门等工艺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具体型号、工艺流程如上</w:t>
            </w: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62D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A924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D689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493B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F3ED2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098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EA5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402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010101001015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483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灌西小区3号变</w:t>
            </w:r>
          </w:p>
        </w:tc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012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包括但不限于接地、排风扇防雨罩、墙面修补、防火门等工艺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具体型号、工艺流程如上</w:t>
            </w: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AF8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A6E7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D56B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B329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E4575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EC8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54E9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D1222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F06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分部分项合计</w:t>
            </w:r>
          </w:p>
        </w:tc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6A0D5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FED3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BE48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FAD0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D08A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8D7E1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E5B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6C31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FEBCC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E2A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措施项目</w:t>
            </w:r>
          </w:p>
        </w:tc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8956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76D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659A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DD5F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7E90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7F4D2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D9C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5786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839D4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DCC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单价措施合计</w:t>
            </w:r>
          </w:p>
        </w:tc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8BD5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7D8A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20D8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67CA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16CF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9D1A8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A36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B94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80EE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3C41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DA9F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BF71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7B74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6E77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2721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3D2D1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8F8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22B0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FD91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2E10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D16C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FF2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4A00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3F5E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4247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A05CA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7A6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AE7C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1163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FCAF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39FD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0024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8BF5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8D4F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FCAF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324E1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876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525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27B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6D1D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213C9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29B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525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2D3D2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计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4726C6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44EFCC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E91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0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068D19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注：为计取规费等的使用，可在表中增设其中：“定额人工费”。</w:t>
            </w:r>
          </w:p>
        </w:tc>
      </w:tr>
      <w:tr w14:paraId="0ADB6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40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24D4B5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69FB09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3E11CF6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表—08</w:t>
            </w:r>
          </w:p>
        </w:tc>
      </w:tr>
    </w:tbl>
    <w:p w14:paraId="5A652756"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7869676"/>
    <w:multiLevelType w:val="singleLevel"/>
    <w:tmpl w:val="57869676"/>
    <w:lvl w:ilvl="0" w:tentative="0">
      <w:start w:val="9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004149D2"/>
    <w:rsid w:val="001142A3"/>
    <w:rsid w:val="001E18EB"/>
    <w:rsid w:val="002C71C8"/>
    <w:rsid w:val="0039616D"/>
    <w:rsid w:val="004149D2"/>
    <w:rsid w:val="00476A5B"/>
    <w:rsid w:val="0057105C"/>
    <w:rsid w:val="005A7B0D"/>
    <w:rsid w:val="005E01FB"/>
    <w:rsid w:val="005F14F0"/>
    <w:rsid w:val="006954E9"/>
    <w:rsid w:val="006A29D7"/>
    <w:rsid w:val="007C585B"/>
    <w:rsid w:val="008047AF"/>
    <w:rsid w:val="00B0645E"/>
    <w:rsid w:val="00CD43A5"/>
    <w:rsid w:val="00D03040"/>
    <w:rsid w:val="00E17D4F"/>
    <w:rsid w:val="00EE0001"/>
    <w:rsid w:val="00F54931"/>
    <w:rsid w:val="00F97337"/>
    <w:rsid w:val="00FE00ED"/>
    <w:rsid w:val="01B20446"/>
    <w:rsid w:val="02654CB1"/>
    <w:rsid w:val="02AA0BB1"/>
    <w:rsid w:val="03836534"/>
    <w:rsid w:val="03E16C4E"/>
    <w:rsid w:val="04964401"/>
    <w:rsid w:val="04A46C34"/>
    <w:rsid w:val="05485881"/>
    <w:rsid w:val="05E65A92"/>
    <w:rsid w:val="064747B7"/>
    <w:rsid w:val="067A1E38"/>
    <w:rsid w:val="07A168E3"/>
    <w:rsid w:val="07A564FD"/>
    <w:rsid w:val="080A06A7"/>
    <w:rsid w:val="09077801"/>
    <w:rsid w:val="0A410AF1"/>
    <w:rsid w:val="0AD75794"/>
    <w:rsid w:val="0B723658"/>
    <w:rsid w:val="0B8E7430"/>
    <w:rsid w:val="0C0E6455"/>
    <w:rsid w:val="0C8748EC"/>
    <w:rsid w:val="0C994C14"/>
    <w:rsid w:val="0D1C756F"/>
    <w:rsid w:val="0D785E51"/>
    <w:rsid w:val="0E6A08A6"/>
    <w:rsid w:val="0E993CB5"/>
    <w:rsid w:val="0EA5159B"/>
    <w:rsid w:val="0FB232A2"/>
    <w:rsid w:val="102571A5"/>
    <w:rsid w:val="103528C7"/>
    <w:rsid w:val="10447193"/>
    <w:rsid w:val="10685553"/>
    <w:rsid w:val="107D77B2"/>
    <w:rsid w:val="109972E9"/>
    <w:rsid w:val="10C71FB9"/>
    <w:rsid w:val="1120485B"/>
    <w:rsid w:val="1130123A"/>
    <w:rsid w:val="116417AB"/>
    <w:rsid w:val="11990505"/>
    <w:rsid w:val="11D719B9"/>
    <w:rsid w:val="12377C75"/>
    <w:rsid w:val="12960FB7"/>
    <w:rsid w:val="130C4BFB"/>
    <w:rsid w:val="137F5319"/>
    <w:rsid w:val="13BC4112"/>
    <w:rsid w:val="13FC4B19"/>
    <w:rsid w:val="14057B62"/>
    <w:rsid w:val="141C0605"/>
    <w:rsid w:val="145B0760"/>
    <w:rsid w:val="1546345F"/>
    <w:rsid w:val="154D23DD"/>
    <w:rsid w:val="156863F4"/>
    <w:rsid w:val="157B3DDB"/>
    <w:rsid w:val="16B0772A"/>
    <w:rsid w:val="16BD7DED"/>
    <w:rsid w:val="178640CA"/>
    <w:rsid w:val="17C9440E"/>
    <w:rsid w:val="18721CB8"/>
    <w:rsid w:val="18D21BDA"/>
    <w:rsid w:val="193821FC"/>
    <w:rsid w:val="1A684B06"/>
    <w:rsid w:val="1B9625A1"/>
    <w:rsid w:val="1BD25A4D"/>
    <w:rsid w:val="1D4B1478"/>
    <w:rsid w:val="1E127068"/>
    <w:rsid w:val="1EE61F3B"/>
    <w:rsid w:val="1F1979A7"/>
    <w:rsid w:val="1F7E3C08"/>
    <w:rsid w:val="2091237A"/>
    <w:rsid w:val="209C2412"/>
    <w:rsid w:val="21274065"/>
    <w:rsid w:val="221F4142"/>
    <w:rsid w:val="23AE20DF"/>
    <w:rsid w:val="23B51B81"/>
    <w:rsid w:val="23D0144E"/>
    <w:rsid w:val="247A452D"/>
    <w:rsid w:val="24A96F3B"/>
    <w:rsid w:val="25710060"/>
    <w:rsid w:val="258D6F73"/>
    <w:rsid w:val="25925DD4"/>
    <w:rsid w:val="25FA451E"/>
    <w:rsid w:val="261E1082"/>
    <w:rsid w:val="26EF7CFA"/>
    <w:rsid w:val="2722630B"/>
    <w:rsid w:val="27743463"/>
    <w:rsid w:val="27D36DD5"/>
    <w:rsid w:val="283C746E"/>
    <w:rsid w:val="28CD567C"/>
    <w:rsid w:val="292D0766"/>
    <w:rsid w:val="29421312"/>
    <w:rsid w:val="29475CCC"/>
    <w:rsid w:val="29583A35"/>
    <w:rsid w:val="2A19588C"/>
    <w:rsid w:val="2A1D6A2D"/>
    <w:rsid w:val="2AAE58D7"/>
    <w:rsid w:val="2AD8659B"/>
    <w:rsid w:val="2AED2C75"/>
    <w:rsid w:val="2BC97BFB"/>
    <w:rsid w:val="2BE617DE"/>
    <w:rsid w:val="2C582C57"/>
    <w:rsid w:val="2C751A6A"/>
    <w:rsid w:val="2C910096"/>
    <w:rsid w:val="2CB247E9"/>
    <w:rsid w:val="2D670841"/>
    <w:rsid w:val="2D811081"/>
    <w:rsid w:val="2F005368"/>
    <w:rsid w:val="30A57FC3"/>
    <w:rsid w:val="321A3C3D"/>
    <w:rsid w:val="32747406"/>
    <w:rsid w:val="331128CC"/>
    <w:rsid w:val="33226E62"/>
    <w:rsid w:val="335C4122"/>
    <w:rsid w:val="33AB2DFB"/>
    <w:rsid w:val="34957179"/>
    <w:rsid w:val="34A20388"/>
    <w:rsid w:val="34EB4A02"/>
    <w:rsid w:val="365F3B54"/>
    <w:rsid w:val="376322BC"/>
    <w:rsid w:val="38374B16"/>
    <w:rsid w:val="38E250CA"/>
    <w:rsid w:val="392F3DE6"/>
    <w:rsid w:val="39993E40"/>
    <w:rsid w:val="39F72DF7"/>
    <w:rsid w:val="3A0E56D8"/>
    <w:rsid w:val="3A380A59"/>
    <w:rsid w:val="3A4A1C69"/>
    <w:rsid w:val="3A5032E7"/>
    <w:rsid w:val="3A6A792B"/>
    <w:rsid w:val="3A777A93"/>
    <w:rsid w:val="3AAB5061"/>
    <w:rsid w:val="3B5D4A7E"/>
    <w:rsid w:val="3BA35B70"/>
    <w:rsid w:val="3BC75965"/>
    <w:rsid w:val="3BE765C1"/>
    <w:rsid w:val="3C011D0B"/>
    <w:rsid w:val="3C4627DE"/>
    <w:rsid w:val="3CFC70CA"/>
    <w:rsid w:val="3DD1395F"/>
    <w:rsid w:val="3E5165AD"/>
    <w:rsid w:val="3E9A2461"/>
    <w:rsid w:val="3EDC73DD"/>
    <w:rsid w:val="400144C3"/>
    <w:rsid w:val="40036A20"/>
    <w:rsid w:val="408D0011"/>
    <w:rsid w:val="40AE7F87"/>
    <w:rsid w:val="41A678F2"/>
    <w:rsid w:val="41BD2505"/>
    <w:rsid w:val="41C41F31"/>
    <w:rsid w:val="42140EA8"/>
    <w:rsid w:val="42734EFD"/>
    <w:rsid w:val="435C6356"/>
    <w:rsid w:val="44B97EFF"/>
    <w:rsid w:val="451F3F2C"/>
    <w:rsid w:val="453254A3"/>
    <w:rsid w:val="459C0CF6"/>
    <w:rsid w:val="45AE2934"/>
    <w:rsid w:val="46AD304F"/>
    <w:rsid w:val="46D633A5"/>
    <w:rsid w:val="482512D8"/>
    <w:rsid w:val="488134C6"/>
    <w:rsid w:val="498F5A5D"/>
    <w:rsid w:val="49C67139"/>
    <w:rsid w:val="49EC065D"/>
    <w:rsid w:val="4A242B72"/>
    <w:rsid w:val="4AD11680"/>
    <w:rsid w:val="4B2844F3"/>
    <w:rsid w:val="4B2B4CF5"/>
    <w:rsid w:val="4D7002C3"/>
    <w:rsid w:val="4DA5179B"/>
    <w:rsid w:val="4DD16AAC"/>
    <w:rsid w:val="4E2E4D4C"/>
    <w:rsid w:val="4F322716"/>
    <w:rsid w:val="4FC17D7D"/>
    <w:rsid w:val="4FEC0A48"/>
    <w:rsid w:val="50AA4069"/>
    <w:rsid w:val="51C54874"/>
    <w:rsid w:val="51D72A7B"/>
    <w:rsid w:val="51E34706"/>
    <w:rsid w:val="52473DBA"/>
    <w:rsid w:val="535541BB"/>
    <w:rsid w:val="535850DB"/>
    <w:rsid w:val="53764934"/>
    <w:rsid w:val="53DD49B3"/>
    <w:rsid w:val="53E56A1C"/>
    <w:rsid w:val="54AB4929"/>
    <w:rsid w:val="54F76591"/>
    <w:rsid w:val="551A75C7"/>
    <w:rsid w:val="55BF168A"/>
    <w:rsid w:val="568E3C42"/>
    <w:rsid w:val="57F5088A"/>
    <w:rsid w:val="599E1B42"/>
    <w:rsid w:val="59A26915"/>
    <w:rsid w:val="59C42F47"/>
    <w:rsid w:val="5A466233"/>
    <w:rsid w:val="5A7259C5"/>
    <w:rsid w:val="5B986BAF"/>
    <w:rsid w:val="5C5F030B"/>
    <w:rsid w:val="5D7278E5"/>
    <w:rsid w:val="5EAC1951"/>
    <w:rsid w:val="5ECC7AFE"/>
    <w:rsid w:val="5EE035AA"/>
    <w:rsid w:val="5FCA0621"/>
    <w:rsid w:val="5FF80052"/>
    <w:rsid w:val="60171399"/>
    <w:rsid w:val="60A001FA"/>
    <w:rsid w:val="60AC0C42"/>
    <w:rsid w:val="61A20F78"/>
    <w:rsid w:val="623A1AB3"/>
    <w:rsid w:val="626D15F8"/>
    <w:rsid w:val="63047358"/>
    <w:rsid w:val="63A31AEE"/>
    <w:rsid w:val="63A3390F"/>
    <w:rsid w:val="66A258D9"/>
    <w:rsid w:val="66C44C07"/>
    <w:rsid w:val="68A724B6"/>
    <w:rsid w:val="69CC709D"/>
    <w:rsid w:val="6A3D7B02"/>
    <w:rsid w:val="6A776E9F"/>
    <w:rsid w:val="6AA13173"/>
    <w:rsid w:val="6AAA4C90"/>
    <w:rsid w:val="6AD432EA"/>
    <w:rsid w:val="6B085AD4"/>
    <w:rsid w:val="6C0A7D97"/>
    <w:rsid w:val="6CA80668"/>
    <w:rsid w:val="6D171304"/>
    <w:rsid w:val="6D197B8B"/>
    <w:rsid w:val="6D7E0B5E"/>
    <w:rsid w:val="6DC13859"/>
    <w:rsid w:val="6DFF0EFD"/>
    <w:rsid w:val="6E123E67"/>
    <w:rsid w:val="6E7764D5"/>
    <w:rsid w:val="6EE70791"/>
    <w:rsid w:val="6F8D5088"/>
    <w:rsid w:val="6FD05675"/>
    <w:rsid w:val="70546F0E"/>
    <w:rsid w:val="71487932"/>
    <w:rsid w:val="71516ADD"/>
    <w:rsid w:val="71F80EDE"/>
    <w:rsid w:val="71FD4A4D"/>
    <w:rsid w:val="720B15F6"/>
    <w:rsid w:val="725256DA"/>
    <w:rsid w:val="737A13C1"/>
    <w:rsid w:val="75C8568D"/>
    <w:rsid w:val="76074DF1"/>
    <w:rsid w:val="76097D86"/>
    <w:rsid w:val="76135B49"/>
    <w:rsid w:val="775018D4"/>
    <w:rsid w:val="77B22666"/>
    <w:rsid w:val="780D6E7D"/>
    <w:rsid w:val="78106856"/>
    <w:rsid w:val="788864FA"/>
    <w:rsid w:val="78C85B10"/>
    <w:rsid w:val="79182034"/>
    <w:rsid w:val="7A146AD1"/>
    <w:rsid w:val="7A3E4245"/>
    <w:rsid w:val="7A4049E3"/>
    <w:rsid w:val="7A99050A"/>
    <w:rsid w:val="7AE5230C"/>
    <w:rsid w:val="7B1B6C2F"/>
    <w:rsid w:val="7B410C9A"/>
    <w:rsid w:val="7B642211"/>
    <w:rsid w:val="7BBC0535"/>
    <w:rsid w:val="7CAF14B1"/>
    <w:rsid w:val="7CB61BD5"/>
    <w:rsid w:val="7CCE6599"/>
    <w:rsid w:val="7D1943FF"/>
    <w:rsid w:val="7D6360D7"/>
    <w:rsid w:val="7E0D734B"/>
    <w:rsid w:val="7F141322"/>
    <w:rsid w:val="7FD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unhideWhenUsed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4">
    <w:name w:val="envelope return"/>
    <w:basedOn w:val="1"/>
    <w:unhideWhenUsed/>
    <w:qFormat/>
    <w:uiPriority w:val="0"/>
    <w:pPr>
      <w:snapToGrid w:val="0"/>
      <w:spacing w:beforeLines="0" w:afterLines="0"/>
    </w:pPr>
    <w:rPr>
      <w:rFonts w:hint="eastAsia" w:ascii="Arial" w:hAnsi="Arial" w:cs="Arial"/>
      <w:sz w:val="21"/>
      <w:szCs w:val="24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3"/>
    <w:qFormat/>
    <w:uiPriority w:val="0"/>
    <w:pPr>
      <w:tabs>
        <w:tab w:val="left" w:pos="765"/>
      </w:tabs>
      <w:ind w:firstLine="420" w:firstLineChars="200"/>
    </w:pPr>
  </w:style>
  <w:style w:type="table" w:styleId="9">
    <w:name w:val="Table Grid"/>
    <w:basedOn w:val="8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99"/>
    <w:rPr>
      <w:rFonts w:cs="Times New Roman"/>
      <w:b/>
      <w:color w:val="787878"/>
      <w:sz w:val="18"/>
      <w:szCs w:val="18"/>
    </w:rPr>
  </w:style>
  <w:style w:type="character" w:styleId="12">
    <w:name w:val="FollowedHyperlink"/>
    <w:basedOn w:val="10"/>
    <w:qFormat/>
    <w:uiPriority w:val="99"/>
    <w:rPr>
      <w:rFonts w:cs="Times New Roman"/>
      <w:color w:val="666666"/>
      <w:u w:val="none"/>
    </w:rPr>
  </w:style>
  <w:style w:type="character" w:styleId="13">
    <w:name w:val="Emphasis"/>
    <w:basedOn w:val="10"/>
    <w:qFormat/>
    <w:uiPriority w:val="99"/>
    <w:rPr>
      <w:rFonts w:cs="Times New Roman"/>
    </w:rPr>
  </w:style>
  <w:style w:type="character" w:styleId="14">
    <w:name w:val="HTML Definition"/>
    <w:basedOn w:val="10"/>
    <w:qFormat/>
    <w:uiPriority w:val="99"/>
    <w:rPr>
      <w:rFonts w:cs="Times New Roman"/>
    </w:rPr>
  </w:style>
  <w:style w:type="character" w:styleId="15">
    <w:name w:val="HTML Variable"/>
    <w:basedOn w:val="10"/>
    <w:qFormat/>
    <w:uiPriority w:val="99"/>
    <w:rPr>
      <w:rFonts w:cs="Times New Roman"/>
    </w:rPr>
  </w:style>
  <w:style w:type="character" w:styleId="16">
    <w:name w:val="Hyperlink"/>
    <w:basedOn w:val="10"/>
    <w:qFormat/>
    <w:uiPriority w:val="99"/>
    <w:rPr>
      <w:rFonts w:cs="Times New Roman"/>
      <w:color w:val="666666"/>
      <w:u w:val="none"/>
    </w:rPr>
  </w:style>
  <w:style w:type="character" w:styleId="17">
    <w:name w:val="HTML Cite"/>
    <w:basedOn w:val="10"/>
    <w:qFormat/>
    <w:uiPriority w:val="99"/>
    <w:rPr>
      <w:rFonts w:cs="Times New Roman"/>
    </w:rPr>
  </w:style>
  <w:style w:type="character" w:customStyle="1" w:styleId="18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4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font2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2">
    <w:name w:val="font81"/>
    <w:basedOn w:val="10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3">
    <w:name w:val="font5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4">
    <w:name w:val="font3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14</Pages>
  <Words>4451</Words>
  <Characters>4951</Characters>
  <Lines>0</Lines>
  <Paragraphs>0</Paragraphs>
  <TotalTime>37</TotalTime>
  <ScaleCrop>false</ScaleCrop>
  <LinksUpToDate>false</LinksUpToDate>
  <CharactersWithSpaces>5428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2020-03-12T02:08:00Z</dcterms:created>
  <dc:creator>Administrator</dc:creator>
  <cp:lastModifiedBy>木木</cp:lastModifiedBy>
  <cp:lastPrinted>2025-09-20T01:22:43Z</cp:lastPrinted>
  <dcterms:modified xsi:type="dcterms:W3CDTF">2025-09-20T01:24:12Z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64A5E1E7AFE147A985082E4EF35B740E</vt:lpwstr>
  </property>
</Properties>
</file>