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jc w:val="center"/>
        <w:textAlignment w:val="auto"/>
        <w:rPr>
          <w:rFonts w:hint="eastAsia" w:ascii="仿宋" w:hAnsi="仿宋" w:eastAsia="仿宋" w:cs="仿宋"/>
          <w:b/>
          <w:bCs/>
          <w:color w:val="000000"/>
          <w:kern w:val="0"/>
          <w:sz w:val="36"/>
          <w:szCs w:val="36"/>
          <w:shd w:val="clear" w:color="auto" w:fill="FFFFFF"/>
          <w:lang w:val="en-US" w:eastAsia="zh-CN" w:bidi="ar-SA"/>
        </w:rPr>
      </w:pPr>
      <w:r>
        <w:rPr>
          <w:rFonts w:hint="eastAsia" w:ascii="仿宋" w:hAnsi="仿宋" w:eastAsia="仿宋" w:cs="仿宋"/>
          <w:b/>
          <w:bCs/>
          <w:color w:val="000000"/>
          <w:kern w:val="0"/>
          <w:sz w:val="36"/>
          <w:szCs w:val="36"/>
          <w:shd w:val="clear" w:color="auto" w:fill="FFFFFF"/>
          <w:lang w:val="en-US" w:eastAsia="zh-CN" w:bidi="ar-SA"/>
        </w:rPr>
        <w:t>化肥购销合同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6720" w:firstLineChars="24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合同编号：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textAlignment w:val="auto"/>
        <w:rPr>
          <w:rFonts w:hint="default"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购买方：</w:t>
      </w:r>
      <w:r>
        <w:rPr>
          <w:rFonts w:hint="eastAsia" w:ascii="仿宋" w:hAnsi="仿宋" w:eastAsia="仿宋" w:cs="仿宋"/>
          <w:color w:val="000000"/>
          <w:kern w:val="0"/>
          <w:sz w:val="28"/>
          <w:szCs w:val="28"/>
          <w:u w:val="single"/>
          <w:shd w:val="clear" w:color="auto" w:fill="FFFFFF"/>
          <w:lang w:val="en-US" w:eastAsia="zh-CN" w:bidi="ar-SA"/>
        </w:rPr>
        <w:t>连云港市工投集团青口投资有限公司</w:t>
      </w:r>
      <w:r>
        <w:rPr>
          <w:rFonts w:hint="eastAsia" w:ascii="仿宋" w:hAnsi="仿宋" w:eastAsia="仿宋" w:cs="仿宋"/>
          <w:color w:val="000000"/>
          <w:kern w:val="0"/>
          <w:sz w:val="28"/>
          <w:szCs w:val="28"/>
          <w:shd w:val="clear" w:color="auto" w:fill="FFFFFF"/>
          <w:lang w:val="en-US" w:eastAsia="zh-CN" w:bidi="ar-SA"/>
        </w:rPr>
        <w:t>（以下简称“甲方”）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供货方：</w:t>
      </w:r>
      <w:r>
        <w:rPr>
          <w:rFonts w:hint="eastAsia" w:ascii="仿宋" w:hAnsi="仿宋" w:eastAsia="仿宋" w:cs="仿宋"/>
          <w:color w:val="000000"/>
          <w:kern w:val="0"/>
          <w:sz w:val="28"/>
          <w:szCs w:val="28"/>
          <w:u w:val="single"/>
          <w:shd w:val="clear" w:color="auto" w:fill="FFFFFF"/>
          <w:lang w:val="en-US" w:eastAsia="zh-CN" w:bidi="ar-SA"/>
        </w:rPr>
        <w:t xml:space="preserve">                                </w:t>
      </w:r>
      <w:r>
        <w:rPr>
          <w:rFonts w:hint="eastAsia" w:ascii="仿宋" w:hAnsi="仿宋" w:eastAsia="仿宋" w:cs="仿宋"/>
          <w:color w:val="000000"/>
          <w:kern w:val="0"/>
          <w:sz w:val="28"/>
          <w:szCs w:val="28"/>
          <w:shd w:val="clear" w:color="auto" w:fill="FFFFFF"/>
          <w:lang w:val="en-US" w:eastAsia="zh-CN" w:bidi="ar-SA"/>
        </w:rPr>
        <w:t xml:space="preserve">（以下简称“乙方”）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根据《中华人民共和国民法典》、《中华人民共和国消费者权益保护法》及其他有关法律、法规的规定，本着公平、诚信的原则，经甲乙双方协商一致，签订本合同，以资共同信守。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一、化肥购销产品：</w:t>
      </w:r>
    </w:p>
    <w:tbl>
      <w:tblPr>
        <w:tblStyle w:val="6"/>
        <w:tblW w:w="8496"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695"/>
        <w:gridCol w:w="1101"/>
        <w:gridCol w:w="792"/>
        <w:gridCol w:w="1080"/>
        <w:gridCol w:w="1455"/>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sz w:val="22"/>
                <w:szCs w:val="22"/>
                <w:highlight w:val="none"/>
                <w:vertAlign w:val="baseline"/>
                <w:lang w:val="en-US" w:eastAsia="zh-CN"/>
              </w:rPr>
            </w:pPr>
            <w:r>
              <w:rPr>
                <w:rFonts w:hint="eastAsia" w:ascii="宋体" w:hAnsi="宋体"/>
                <w:sz w:val="22"/>
                <w:szCs w:val="22"/>
                <w:highlight w:val="none"/>
                <w:vertAlign w:val="baseline"/>
                <w:lang w:val="en-US" w:eastAsia="zh-CN"/>
              </w:rPr>
              <w:t>序号</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kern w:val="2"/>
                <w:sz w:val="22"/>
                <w:szCs w:val="22"/>
                <w:highlight w:val="none"/>
                <w:vertAlign w:val="baseline"/>
                <w:lang w:val="en-US" w:eastAsia="zh-CN" w:bidi="ar-SA"/>
              </w:rPr>
            </w:pPr>
            <w:r>
              <w:rPr>
                <w:rFonts w:hint="eastAsia" w:ascii="宋体" w:hAnsi="宋体"/>
                <w:sz w:val="22"/>
                <w:szCs w:val="22"/>
                <w:highlight w:val="none"/>
                <w:vertAlign w:val="baseline"/>
                <w:lang w:val="en-US" w:eastAsia="zh-CN"/>
              </w:rPr>
              <w:t>产品名称</w:t>
            </w:r>
          </w:p>
        </w:tc>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sz w:val="22"/>
                <w:szCs w:val="22"/>
                <w:highlight w:val="none"/>
                <w:vertAlign w:val="baseline"/>
                <w:lang w:val="en-US" w:eastAsia="zh-CN"/>
              </w:rPr>
            </w:pPr>
            <w:r>
              <w:rPr>
                <w:rFonts w:hint="eastAsia" w:ascii="宋体" w:hAnsi="宋体"/>
                <w:sz w:val="22"/>
                <w:szCs w:val="22"/>
                <w:highlight w:val="none"/>
                <w:vertAlign w:val="baseline"/>
                <w:lang w:val="en-US" w:eastAsia="zh-CN"/>
              </w:rPr>
              <w:t>规格</w:t>
            </w:r>
          </w:p>
        </w:tc>
        <w:tc>
          <w:tcPr>
            <w:tcW w:w="7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sz w:val="22"/>
                <w:szCs w:val="22"/>
                <w:highlight w:val="none"/>
                <w:vertAlign w:val="baseline"/>
                <w:lang w:val="en-US" w:eastAsia="zh-CN"/>
              </w:rPr>
            </w:pPr>
            <w:r>
              <w:rPr>
                <w:rFonts w:hint="eastAsia" w:ascii="宋体" w:hAnsi="宋体"/>
                <w:sz w:val="22"/>
                <w:szCs w:val="22"/>
                <w:highlight w:val="none"/>
                <w:vertAlign w:val="baseline"/>
                <w:lang w:val="en-US" w:eastAsia="zh-CN"/>
              </w:rPr>
              <w:t>单位</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sz w:val="22"/>
                <w:szCs w:val="22"/>
                <w:highlight w:val="none"/>
                <w:vertAlign w:val="baseline"/>
                <w:lang w:val="en-US" w:eastAsia="zh-CN"/>
              </w:rPr>
            </w:pPr>
            <w:r>
              <w:rPr>
                <w:rFonts w:hint="eastAsia" w:ascii="宋体" w:hAnsi="宋体"/>
                <w:sz w:val="22"/>
                <w:szCs w:val="22"/>
                <w:highlight w:val="none"/>
                <w:vertAlign w:val="baseline"/>
                <w:lang w:val="en-US" w:eastAsia="zh-CN"/>
              </w:rPr>
              <w:t>数量</w:t>
            </w:r>
          </w:p>
        </w:tc>
        <w:tc>
          <w:tcPr>
            <w:tcW w:w="14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单价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sz w:val="22"/>
                <w:szCs w:val="22"/>
                <w:highlight w:val="none"/>
                <w:vertAlign w:val="baseline"/>
                <w:lang w:val="en-US"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含税</w:t>
            </w:r>
            <w:r>
              <w:rPr>
                <w:rFonts w:hint="eastAsia" w:ascii="宋体" w:hAnsi="宋体" w:eastAsia="宋体" w:cs="宋体"/>
                <w:sz w:val="24"/>
                <w:szCs w:val="24"/>
                <w:highlight w:val="none"/>
                <w:lang w:eastAsia="zh-CN"/>
              </w:rPr>
              <w:t>）</w:t>
            </w: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sz w:val="22"/>
                <w:szCs w:val="22"/>
                <w:highlight w:val="none"/>
                <w:vertAlign w:val="baseline"/>
                <w:lang w:val="en-US" w:eastAsia="zh-CN"/>
              </w:rPr>
            </w:pPr>
            <w:r>
              <w:rPr>
                <w:rFonts w:hint="eastAsia" w:ascii="宋体" w:hAnsi="宋体"/>
                <w:sz w:val="22"/>
                <w:szCs w:val="22"/>
                <w:highlight w:val="none"/>
                <w:vertAlign w:val="baseline"/>
                <w:lang w:val="en-US"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keepNext w:val="0"/>
              <w:keepLines w:val="0"/>
              <w:widowControl/>
              <w:suppressLineNumbers w:val="0"/>
              <w:jc w:val="center"/>
              <w:textAlignment w:val="center"/>
              <w:rPr>
                <w:rFonts w:hint="default" w:ascii="宋体" w:hAnsi="宋体"/>
                <w:sz w:val="22"/>
                <w:szCs w:val="22"/>
                <w:highlight w:val="none"/>
                <w:u w:val="none"/>
                <w:vertAlign w:val="baseline"/>
                <w:lang w:val="en-US" w:eastAsia="zh-CN"/>
              </w:rPr>
            </w:pPr>
            <w:r>
              <w:rPr>
                <w:rFonts w:hint="eastAsia" w:ascii="宋体" w:hAnsi="宋体"/>
                <w:sz w:val="22"/>
                <w:szCs w:val="22"/>
                <w:highlight w:val="none"/>
                <w:u w:val="none"/>
                <w:vertAlign w:val="baseline"/>
                <w:lang w:val="en-US" w:eastAsia="zh-CN"/>
              </w:rPr>
              <w:t>1</w:t>
            </w:r>
          </w:p>
        </w:tc>
        <w:tc>
          <w:tcPr>
            <w:tcW w:w="1695" w:type="dxa"/>
            <w:noWrap w:val="0"/>
            <w:vAlign w:val="center"/>
          </w:tcPr>
          <w:p>
            <w:pPr>
              <w:keepNext w:val="0"/>
              <w:keepLines w:val="0"/>
              <w:widowControl/>
              <w:suppressLineNumbers w:val="0"/>
              <w:jc w:val="center"/>
              <w:textAlignment w:val="center"/>
              <w:rPr>
                <w:rFonts w:hint="eastAsia" w:ascii="宋体" w:hAnsi="宋体"/>
                <w:kern w:val="2"/>
                <w:sz w:val="22"/>
                <w:szCs w:val="22"/>
                <w:highlight w:val="none"/>
                <w:u w:val="none"/>
                <w:vertAlign w:val="baseline"/>
                <w:lang w:val="en-US" w:eastAsia="zh-CN" w:bidi="ar-SA"/>
              </w:rPr>
            </w:pPr>
          </w:p>
        </w:tc>
        <w:tc>
          <w:tcPr>
            <w:tcW w:w="1101" w:type="dxa"/>
            <w:noWrap w:val="0"/>
            <w:vAlign w:val="center"/>
          </w:tcPr>
          <w:p>
            <w:pPr>
              <w:keepNext w:val="0"/>
              <w:keepLines w:val="0"/>
              <w:widowControl/>
              <w:suppressLineNumbers w:val="0"/>
              <w:jc w:val="center"/>
              <w:textAlignment w:val="center"/>
              <w:rPr>
                <w:rFonts w:hint="default" w:ascii="宋体" w:hAnsi="宋体"/>
                <w:sz w:val="22"/>
                <w:szCs w:val="22"/>
                <w:highlight w:val="none"/>
                <w:vertAlign w:val="baseline"/>
                <w:lang w:val="en-US" w:eastAsia="zh-CN"/>
              </w:rPr>
            </w:pPr>
          </w:p>
        </w:tc>
        <w:tc>
          <w:tcPr>
            <w:tcW w:w="792" w:type="dxa"/>
            <w:noWrap w:val="0"/>
            <w:vAlign w:val="center"/>
          </w:tcPr>
          <w:p>
            <w:pPr>
              <w:keepNext w:val="0"/>
              <w:keepLines w:val="0"/>
              <w:widowControl/>
              <w:suppressLineNumbers w:val="0"/>
              <w:jc w:val="center"/>
              <w:textAlignment w:val="center"/>
              <w:rPr>
                <w:rFonts w:hint="eastAsia" w:ascii="宋体" w:hAnsi="宋体"/>
                <w:sz w:val="22"/>
                <w:szCs w:val="22"/>
                <w:highlight w:val="none"/>
                <w:vertAlign w:val="baseline"/>
                <w:lang w:val="en-US" w:eastAsia="zh-CN"/>
              </w:rPr>
            </w:pPr>
          </w:p>
        </w:tc>
        <w:tc>
          <w:tcPr>
            <w:tcW w:w="1080" w:type="dxa"/>
            <w:noWrap w:val="0"/>
            <w:vAlign w:val="center"/>
          </w:tcPr>
          <w:p>
            <w:pPr>
              <w:keepNext w:val="0"/>
              <w:keepLines w:val="0"/>
              <w:widowControl/>
              <w:suppressLineNumbers w:val="0"/>
              <w:jc w:val="center"/>
              <w:textAlignment w:val="center"/>
              <w:rPr>
                <w:rFonts w:hint="default" w:ascii="宋体" w:hAnsi="宋体"/>
                <w:sz w:val="22"/>
                <w:szCs w:val="22"/>
                <w:highlight w:val="none"/>
                <w:vertAlign w:val="baseline"/>
                <w:lang w:val="en-US" w:eastAsia="zh-CN"/>
              </w:rPr>
            </w:pPr>
          </w:p>
        </w:tc>
        <w:tc>
          <w:tcPr>
            <w:tcW w:w="14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sz w:val="22"/>
                <w:szCs w:val="22"/>
                <w:highlight w:val="none"/>
                <w:vertAlign w:val="baseline"/>
                <w:lang w:val="en-US" w:eastAsia="zh-CN"/>
              </w:rPr>
            </w:pP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keepNext w:val="0"/>
              <w:keepLines w:val="0"/>
              <w:widowControl/>
              <w:suppressLineNumbers w:val="0"/>
              <w:jc w:val="center"/>
              <w:textAlignment w:val="center"/>
              <w:rPr>
                <w:rFonts w:hint="default" w:ascii="宋体" w:hAnsi="宋体"/>
                <w:sz w:val="22"/>
                <w:szCs w:val="22"/>
                <w:highlight w:val="none"/>
                <w:u w:val="none"/>
                <w:vertAlign w:val="baseline"/>
                <w:lang w:val="en-US" w:eastAsia="zh-CN"/>
              </w:rPr>
            </w:pPr>
            <w:r>
              <w:rPr>
                <w:rFonts w:hint="eastAsia" w:ascii="宋体" w:hAnsi="宋体"/>
                <w:sz w:val="22"/>
                <w:szCs w:val="22"/>
                <w:highlight w:val="none"/>
                <w:u w:val="none"/>
                <w:vertAlign w:val="baseline"/>
                <w:lang w:val="en-US" w:eastAsia="zh-CN"/>
              </w:rPr>
              <w:t>2</w:t>
            </w:r>
          </w:p>
        </w:tc>
        <w:tc>
          <w:tcPr>
            <w:tcW w:w="1695" w:type="dxa"/>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c>
          <w:tcPr>
            <w:tcW w:w="1101" w:type="dxa"/>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792" w:type="dxa"/>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c>
          <w:tcPr>
            <w:tcW w:w="1080" w:type="dxa"/>
            <w:noWrap w:val="0"/>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u w:val="none"/>
                <w:lang w:val="en-US" w:eastAsia="zh-CN" w:bidi="ar"/>
              </w:rPr>
            </w:pPr>
          </w:p>
        </w:tc>
        <w:tc>
          <w:tcPr>
            <w:tcW w:w="14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sz w:val="22"/>
                <w:szCs w:val="22"/>
                <w:highlight w:val="none"/>
                <w:vertAlign w:val="baseline"/>
                <w:lang w:val="en-US" w:eastAsia="zh-CN"/>
              </w:rPr>
            </w:pP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u w:val="single"/>
                <w:lang w:val="en-US" w:eastAsia="zh-CN"/>
              </w:rPr>
            </w:pPr>
            <w:r>
              <w:rPr>
                <w:rFonts w:hint="eastAsia" w:ascii="宋体" w:hAnsi="宋体"/>
                <w:b/>
                <w:bCs/>
                <w:sz w:val="22"/>
                <w:szCs w:val="22"/>
                <w:highlight w:val="none"/>
                <w:vertAlign w:val="baseline"/>
                <w:lang w:val="en-US" w:eastAsia="zh-CN"/>
              </w:rPr>
              <w:t>合计金额：</w:t>
            </w:r>
          </w:p>
        </w:tc>
        <w:tc>
          <w:tcPr>
            <w:tcW w:w="612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sz w:val="22"/>
                <w:szCs w:val="22"/>
                <w:highlight w:val="none"/>
                <w:vertAlign w:val="baseline"/>
                <w:lang w:val="en-US" w:eastAsia="zh-CN"/>
              </w:rPr>
            </w:pPr>
            <w:r>
              <w:rPr>
                <w:rFonts w:hint="eastAsia" w:ascii="宋体" w:hAnsi="宋体" w:eastAsia="宋体" w:cs="宋体"/>
                <w:sz w:val="24"/>
                <w:szCs w:val="24"/>
                <w:highlight w:val="none"/>
                <w:u w:val="single"/>
                <w:lang w:val="en-US" w:eastAsia="zh-CN"/>
              </w:rPr>
              <w:t>人民币</w:t>
            </w:r>
            <w:r>
              <w:rPr>
                <w:rFonts w:hint="eastAsia" w:ascii="宋体" w:hAnsi="宋体" w:cs="宋体"/>
                <w:sz w:val="24"/>
                <w:szCs w:val="24"/>
                <w:highlight w:val="none"/>
                <w:u w:val="single"/>
                <w:lang w:val="en-US" w:eastAsia="zh-CN"/>
              </w:rPr>
              <w:t xml:space="preserve">      元</w:t>
            </w:r>
            <w:r>
              <w:rPr>
                <w:rFonts w:hint="eastAsia" w:ascii="宋体" w:hAnsi="宋体" w:eastAsia="宋体" w:cs="宋体"/>
                <w:sz w:val="24"/>
                <w:szCs w:val="24"/>
                <w:highlight w:val="none"/>
                <w:u w:val="single"/>
                <w:lang w:val="en-US" w:eastAsia="zh-CN"/>
              </w:rPr>
              <w:t>（大写：</w:t>
            </w:r>
            <w:r>
              <w:rPr>
                <w:rFonts w:hint="eastAsia" w:ascii="宋体" w:hAnsi="宋体" w:cs="宋体"/>
                <w:sz w:val="24"/>
                <w:szCs w:val="24"/>
                <w:highlight w:val="none"/>
                <w:u w:val="single"/>
                <w:lang w:val="en-US" w:eastAsia="zh-CN"/>
              </w:rPr>
              <w:t xml:space="preserve">             </w:t>
            </w:r>
            <w:r>
              <w:rPr>
                <w:rFonts w:hint="eastAsia" w:ascii="宋体" w:hAnsi="宋体" w:eastAsia="宋体" w:cs="宋体"/>
                <w:sz w:val="24"/>
                <w:szCs w:val="24"/>
                <w:highlight w:val="none"/>
                <w:u w:val="single"/>
                <w:lang w:val="en-US" w:eastAsia="zh-CN"/>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说明：</w:t>
      </w:r>
      <w:r>
        <w:rPr>
          <w:rFonts w:hint="eastAsia" w:ascii="仿宋" w:hAnsi="仿宋" w:eastAsia="仿宋" w:cs="仿宋"/>
          <w:color w:val="000000"/>
          <w:kern w:val="0"/>
          <w:sz w:val="28"/>
          <w:szCs w:val="28"/>
          <w:highlight w:val="none"/>
          <w:shd w:val="clear" w:color="auto" w:fill="FFFFFF"/>
          <w:lang w:val="en-US" w:eastAsia="zh-CN" w:bidi="ar-SA"/>
        </w:rPr>
        <w:t>数量以实际需求数量为准，单价含</w:t>
      </w:r>
      <w:r>
        <w:rPr>
          <w:rFonts w:hint="eastAsia" w:ascii="仿宋" w:hAnsi="仿宋" w:eastAsia="仿宋" w:cs="仿宋"/>
          <w:color w:val="000000"/>
          <w:kern w:val="0"/>
          <w:sz w:val="28"/>
          <w:szCs w:val="28"/>
          <w:highlight w:val="none"/>
          <w:shd w:val="clear" w:color="auto" w:fill="FFFFFF"/>
          <w:lang w:val="zh-CN" w:eastAsia="zh-CN" w:bidi="ar-SA"/>
        </w:rPr>
        <w:t>税费、装卸费用及运输费用</w:t>
      </w:r>
      <w:r>
        <w:rPr>
          <w:rFonts w:hint="eastAsia" w:ascii="仿宋" w:hAnsi="仿宋" w:eastAsia="仿宋" w:cs="仿宋"/>
          <w:color w:val="000000"/>
          <w:kern w:val="0"/>
          <w:sz w:val="28"/>
          <w:szCs w:val="28"/>
          <w:shd w:val="clear" w:color="auto" w:fill="FFFFFF"/>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二、质量标准：乙方供给甲方的产品必须达到国家规定的化肥质量标准，随产品附送同批产品的生产批号、须开具增值税发票，并保证产品有效期。</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三、包装标准：内塑外编，包装不计价不回收，随货同销。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四、交货：乙方根据甲方要求，合理期限内完成供货。交提货地址：</w:t>
      </w:r>
      <w:r>
        <w:rPr>
          <w:rFonts w:hint="eastAsia" w:ascii="仿宋" w:hAnsi="仿宋" w:eastAsia="仿宋" w:cs="仿宋"/>
          <w:color w:val="000000"/>
          <w:kern w:val="0"/>
          <w:sz w:val="28"/>
          <w:szCs w:val="28"/>
          <w:u w:val="single"/>
          <w:shd w:val="clear" w:color="auto" w:fill="FFFFFF"/>
          <w:lang w:val="en-US" w:eastAsia="zh-CN" w:bidi="ar-SA"/>
        </w:rPr>
        <w:t xml:space="preserve">   大新农场     </w:t>
      </w:r>
      <w:r>
        <w:rPr>
          <w:rFonts w:hint="eastAsia" w:ascii="仿宋" w:hAnsi="仿宋" w:eastAsia="仿宋" w:cs="仿宋"/>
          <w:color w:val="000000"/>
          <w:kern w:val="0"/>
          <w:sz w:val="28"/>
          <w:szCs w:val="28"/>
          <w:shd w:val="clear" w:color="auto" w:fill="FFFFFF"/>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五、货款结算方式：货到付款。运输费、装卸费、税费等由乙方负责；甲方自收到乙方增值税发票后，根据甲方财务报销流程付款。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六、验收标准、方法及提出异议的期限：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甲方在收货时需及时验货，验收过程中如对于化肥的规格、数量等与约定不符或有其他质量问题的，应立即向乙方提出异议，由甲乙双方派人抽样化验或送第三方质检机构复检，异议期为货物签收一周。异议经核实，乙方应无条件退货或换货。</w:t>
      </w:r>
    </w:p>
    <w:p>
      <w:pPr>
        <w:spacing w:line="480" w:lineRule="exact"/>
        <w:ind w:firstLine="560" w:firstLineChars="200"/>
        <w:rPr>
          <w:rFonts w:hint="eastAsia"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rPr>
        <w:t>七、违约责任：</w:t>
      </w:r>
    </w:p>
    <w:p>
      <w:pPr>
        <w:spacing w:line="480" w:lineRule="exact"/>
        <w:ind w:firstLine="560" w:firstLineChars="200"/>
        <w:rPr>
          <w:rFonts w:hint="eastAsia" w:ascii="宋体" w:hAnsi="宋体" w:cs="宋体"/>
          <w:sz w:val="24"/>
          <w:szCs w:val="24"/>
        </w:rPr>
      </w:pPr>
      <w:r>
        <w:rPr>
          <w:rFonts w:hint="eastAsia" w:ascii="仿宋" w:hAnsi="仿宋" w:eastAsia="仿宋" w:cs="仿宋"/>
          <w:color w:val="000000"/>
          <w:kern w:val="0"/>
          <w:sz w:val="28"/>
          <w:szCs w:val="28"/>
          <w:shd w:val="clear" w:color="auto" w:fill="FFFFFF"/>
        </w:rPr>
        <w:t>1.如乙方没有按照合同约定期限履行送货义务，每逾期一天，向甲方支付合同价款2%的违约金，逾期10日，甲方有权解除合同，要求乙方承担由此造成甲方的所有损失，并按合同总额的20%支付违约金。</w:t>
      </w:r>
    </w:p>
    <w:p>
      <w:pPr>
        <w:pStyle w:val="4"/>
        <w:spacing w:line="480" w:lineRule="exact"/>
        <w:ind w:firstLine="560" w:firstLineChars="200"/>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2.如乙方的产品经第三方机构检测不符合国家标准或合同约定质量标准的，甲方有权拒收、换货或退货，所造成的运输、装卸、产品等损失均由乙方承担，且甲方有权要求乙方支付合同价款20%的违约金。</w:t>
      </w:r>
    </w:p>
    <w:p>
      <w:pPr>
        <w:spacing w:line="440" w:lineRule="exact"/>
        <w:ind w:firstLine="560" w:firstLineChars="200"/>
        <w:rPr>
          <w:rFonts w:hint="eastAsia"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rPr>
        <w:t>3.标的物所有权自交付时转移，但甲方未履行支付价款义务的，标的物属于乙方所有。</w:t>
      </w:r>
    </w:p>
    <w:p>
      <w:pPr>
        <w:spacing w:line="440" w:lineRule="exact"/>
        <w:ind w:firstLine="560" w:firstLineChars="200"/>
        <w:rPr>
          <w:rFonts w:hint="eastAsia"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rPr>
        <w:t>4.化肥不符合包装要求或包装有破损的，甲方有权要求换货、退货，或按照本协议规定产品的销售价格乘以破损产品数量扣除货款。因退换货产生的运输费、装卸费由乙方承担。</w:t>
      </w:r>
    </w:p>
    <w:p>
      <w:pPr>
        <w:spacing w:line="440" w:lineRule="exact"/>
        <w:ind w:firstLine="560" w:firstLineChars="200"/>
        <w:rPr>
          <w:rFonts w:hint="eastAsia"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rPr>
        <w:t>5.甲方应按所买化肥标签注明的用量、使用技术和方法在有效期内使用化肥，且自合同签订一年内乙方应向甲方提供良好的技术支持和售后服务。如在乙方已提供用量说明和使用技术的情况下，因甲方操作问题导致农作物受损，由甲方自行承担，乙方不承担任何责任。</w:t>
      </w:r>
    </w:p>
    <w:p>
      <w:pPr>
        <w:spacing w:line="440" w:lineRule="exact"/>
        <w:ind w:firstLine="560" w:firstLineChars="200"/>
        <w:rPr>
          <w:rFonts w:hint="eastAsia"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rPr>
        <w:t>6.甲方经营过程中保存不善等非供货方原因造成的质量问题，乙方不承担责任。</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rPr>
        <w:t>7.乙方不得再分包或转包，必须由乙方自行提供合同约定的产品。如乙方违约分包或转包的，依法追究承包单位的法律责任，处转让、分包项目总金额的20%支付违约金。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八、合同纠纷处理办法：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双方当事人事先友好协商解决，如协商或调解不成的，甲乙双方同意只能以以下第二种方式解决纠纷：</w:t>
      </w:r>
    </w:p>
    <w:p>
      <w:pPr>
        <w:pStyle w:val="4"/>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（1）向连云港市仲裁委申请仲裁；</w:t>
      </w:r>
    </w:p>
    <w:p>
      <w:pPr>
        <w:pStyle w:val="4"/>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（2）向甲方公司所在地人民法院提起诉讼。</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乙方承诺只要发生诉讼，承担包括但不限于诉讼费、律师费、保全费、执行费等一切费用。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九、其他事项：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1.本合同经甲乙双方签字加盖公章或合同章后生效，有效期至该笔业务结束止；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2.</w:t>
      </w:r>
      <w:r>
        <w:rPr>
          <w:rFonts w:hint="eastAsia" w:ascii="仿宋" w:hAnsi="仿宋" w:eastAsia="仿宋" w:cs="仿宋"/>
          <w:b/>
          <w:bCs/>
          <w:color w:val="000000"/>
          <w:kern w:val="0"/>
          <w:sz w:val="28"/>
          <w:szCs w:val="28"/>
          <w:shd w:val="clear" w:color="auto" w:fill="FFFFFF"/>
          <w:lang w:val="en-US" w:eastAsia="zh-CN" w:bidi="ar-SA"/>
        </w:rPr>
        <w:t>本合同一式叁份，甲方执贰份，乙方执壹份</w:t>
      </w:r>
      <w:r>
        <w:rPr>
          <w:rFonts w:hint="eastAsia" w:ascii="仿宋" w:hAnsi="仿宋" w:eastAsia="仿宋" w:cs="仿宋"/>
          <w:color w:val="000000"/>
          <w:kern w:val="0"/>
          <w:sz w:val="28"/>
          <w:szCs w:val="28"/>
          <w:shd w:val="clear" w:color="auto" w:fill="FFFFFF"/>
          <w:lang w:val="en-US" w:eastAsia="zh-CN" w:bidi="ar-SA"/>
        </w:rPr>
        <w:t>，自签订之日起生效，传真件与原件每份具有同等法律效力。双方所发确认传真均为本合同的有效附件，与本合同具有同等法律效力；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3.签约地：青口投资公司。</w:t>
      </w:r>
    </w:p>
    <w:p>
      <w:pPr>
        <w:spacing w:line="400" w:lineRule="exact"/>
        <w:rPr>
          <w:rFonts w:hint="eastAsia" w:ascii="仿宋" w:hAnsi="仿宋" w:eastAsia="仿宋" w:cs="仿宋"/>
          <w:color w:val="000000"/>
          <w:kern w:val="0"/>
          <w:sz w:val="28"/>
          <w:szCs w:val="28"/>
          <w:shd w:val="clear" w:color="auto" w:fill="FFFFFF"/>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 w:firstLineChars="200"/>
        <w:textAlignment w:val="auto"/>
        <w:rPr>
          <w:rFonts w:hint="default"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甲方（盖章）：                    乙方（盖章）：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签字：                            签字：</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0" w:firstLineChars="2000"/>
        <w:textAlignment w:val="auto"/>
        <w:rPr>
          <w:rFonts w:hint="eastAsia" w:ascii="仿宋" w:hAnsi="仿宋" w:eastAsia="仿宋" w:cs="仿宋"/>
          <w:color w:val="000000"/>
          <w:kern w:val="0"/>
          <w:sz w:val="28"/>
          <w:szCs w:val="28"/>
          <w:shd w:val="clear" w:color="auto" w:fill="FFFFFF"/>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0" w:firstLineChars="2000"/>
        <w:textAlignment w:val="auto"/>
        <w:rPr>
          <w:rFonts w:hint="default"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年    月    日</w:t>
      </w:r>
    </w:p>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0" w:firstLineChars="2000"/>
        <w:textAlignment w:val="auto"/>
        <w:rPr>
          <w:rFonts w:hint="default" w:ascii="仿宋" w:hAnsi="仿宋" w:eastAsia="仿宋" w:cs="仿宋"/>
          <w:color w:val="000000"/>
          <w:kern w:val="0"/>
          <w:sz w:val="28"/>
          <w:szCs w:val="28"/>
          <w:shd w:val="clear" w:color="auto" w:fill="FFFFFF"/>
          <w:lang w:val="en-US" w:eastAsia="zh-CN" w:bidi="ar-S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4OWNhMjFkNDQzNDA5MWU5MmIxZGQ1NjQxNzRlYTEifQ=="/>
  </w:docVars>
  <w:rsids>
    <w:rsidRoot w:val="764F4E64"/>
    <w:rsid w:val="01620030"/>
    <w:rsid w:val="04092776"/>
    <w:rsid w:val="2CD920D9"/>
    <w:rsid w:val="43CA546C"/>
    <w:rsid w:val="4CF12BA9"/>
    <w:rsid w:val="4E6A6F56"/>
    <w:rsid w:val="5FFB2F6A"/>
    <w:rsid w:val="658D384E"/>
    <w:rsid w:val="66880770"/>
    <w:rsid w:val="764F4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unhideWhenUsed/>
    <w:qFormat/>
    <w:uiPriority w:val="0"/>
    <w:pPr>
      <w:spacing w:after="120"/>
      <w:ind w:left="420" w:leftChars="200"/>
    </w:pPr>
  </w:style>
  <w:style w:type="paragraph" w:styleId="4">
    <w:name w:val="annotation text"/>
    <w:basedOn w:val="1"/>
    <w:qFormat/>
    <w:uiPriority w:val="0"/>
    <w:pPr>
      <w:jc w:val="left"/>
    </w:pPr>
    <w:rPr>
      <w:kern w:val="0"/>
      <w:sz w:val="20"/>
      <w:szCs w:val="24"/>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2023-05-16T08:21:00Z</dcterms:created>
  <dc:creator>番茄土豆泥 。</dc:creator>
  <cp:lastModifiedBy>姜姝妍</cp:lastModifiedBy>
  <cp:lastPrinted>2024-01-03T07:47:00Z</cp:lastPrinted>
  <dcterms:modified xsi:type="dcterms:W3CDTF">2024-04-01T07:22:08Z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127298E37CA34C78B363D5E7D2E80CF9_11</vt:lpwstr>
  </property>
</Properties>
</file>